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2518" w14:textId="77777777" w:rsidR="00B96D8C" w:rsidRDefault="00B96D8C" w:rsidP="0ABB9087">
      <w:pPr>
        <w:ind w:left="0" w:firstLine="0"/>
        <w:rPr>
          <w:highlight w:val="green"/>
        </w:rPr>
      </w:pPr>
    </w:p>
    <w:p w14:paraId="7F73BFE8" w14:textId="38AEF78C" w:rsidR="67EDA1DA" w:rsidRDefault="39E92541" w:rsidP="5A0E31A9">
      <w:pPr>
        <w:pStyle w:val="Heading1"/>
        <w:numPr>
          <w:ilvl w:val="0"/>
          <w:numId w:val="0"/>
        </w:numPr>
        <w:ind w:left="720"/>
        <w:rPr>
          <w:rFonts w:ascii="Calibri" w:eastAsia="Calibri" w:hAnsi="Calibri" w:cs="Calibri"/>
        </w:rPr>
      </w:pPr>
      <w:r w:rsidRPr="009D38F3">
        <w:rPr>
          <w:rFonts w:ascii="Calibri" w:eastAsia="Calibri" w:hAnsi="Calibri" w:cs="Calibri"/>
        </w:rPr>
        <w:t xml:space="preserve">Appendix I: </w:t>
      </w:r>
      <w:r w:rsidR="00FB2140">
        <w:rPr>
          <w:rFonts w:ascii="Calibri" w:eastAsia="Calibri" w:hAnsi="Calibri" w:cs="Calibri"/>
        </w:rPr>
        <w:t xml:space="preserve">AmeriCorps </w:t>
      </w:r>
      <w:r w:rsidRPr="009D38F3">
        <w:rPr>
          <w:rFonts w:ascii="Calibri" w:eastAsia="Calibri" w:hAnsi="Calibri" w:cs="Calibri"/>
        </w:rPr>
        <w:t>Budget Instructions</w:t>
      </w:r>
    </w:p>
    <w:p w14:paraId="293934F0" w14:textId="24F8638A" w:rsidR="00845F5B" w:rsidRDefault="00BB40D9" w:rsidP="00627519">
      <w:pPr>
        <w:numPr>
          <w:ilvl w:val="1"/>
          <w:numId w:val="74"/>
        </w:numPr>
        <w:rPr>
          <w:rFonts w:ascii="Calibri" w:hAnsi="Calibri" w:cs="Calibri"/>
          <w:b/>
          <w:bCs/>
        </w:rPr>
      </w:pPr>
      <w:r w:rsidRPr="00BB40D9">
        <w:rPr>
          <w:rFonts w:ascii="Calibri" w:hAnsi="Calibri" w:cs="Calibri"/>
          <w:b/>
          <w:bCs/>
        </w:rPr>
        <w:t xml:space="preserve">Budget Instructions for </w:t>
      </w:r>
      <w:r w:rsidR="00912EF4">
        <w:rPr>
          <w:rFonts w:ascii="Calibri" w:hAnsi="Calibri" w:cs="Calibri"/>
          <w:b/>
          <w:bCs/>
        </w:rPr>
        <w:t>Applicants</w:t>
      </w:r>
    </w:p>
    <w:p w14:paraId="11974475" w14:textId="77777777" w:rsidR="009E529C" w:rsidRPr="009E529C" w:rsidRDefault="009E529C" w:rsidP="00627519">
      <w:pPr>
        <w:numPr>
          <w:ilvl w:val="2"/>
          <w:numId w:val="74"/>
        </w:numPr>
        <w:rPr>
          <w:rFonts w:ascii="Calibri" w:hAnsi="Calibri" w:cs="Calibri"/>
        </w:rPr>
      </w:pPr>
      <w:r w:rsidRPr="009E529C">
        <w:rPr>
          <w:rFonts w:ascii="Calibri" w:hAnsi="Calibri" w:cs="Calibri"/>
        </w:rPr>
        <w:t xml:space="preserve">The budget instructions are intended to provide applicants with additional information for the preparation of their AmeriCorps application budgets. The instructions provide detailed information for Cost Reimbursement grants. The Instructions should be utilized in conjunction with the Notice of Funding Opportunity (NOFO). </w:t>
      </w:r>
    </w:p>
    <w:p w14:paraId="05794FF0" w14:textId="34206CEA" w:rsidR="009E529C" w:rsidRDefault="009E529C" w:rsidP="00627519">
      <w:pPr>
        <w:numPr>
          <w:ilvl w:val="2"/>
          <w:numId w:val="74"/>
        </w:numPr>
        <w:rPr>
          <w:rFonts w:ascii="Calibri" w:hAnsi="Calibri" w:cs="Calibri"/>
        </w:rPr>
      </w:pPr>
      <w:r w:rsidRPr="009E529C">
        <w:rPr>
          <w:rFonts w:ascii="Calibri" w:hAnsi="Calibri" w:cs="Calibri"/>
        </w:rPr>
        <w:t xml:space="preserve">Your detailed budget narrative must provide a full explanation of the proposed costs including the purpose, justification, and the basis of your calculations. </w:t>
      </w:r>
    </w:p>
    <w:p w14:paraId="31B2C1B7" w14:textId="305F6B44" w:rsidR="00383C84" w:rsidRDefault="008D2AC6" w:rsidP="00627519">
      <w:pPr>
        <w:numPr>
          <w:ilvl w:val="2"/>
          <w:numId w:val="74"/>
        </w:numPr>
        <w:rPr>
          <w:rFonts w:ascii="Calibri" w:hAnsi="Calibri" w:cs="Calibri"/>
        </w:rPr>
      </w:pPr>
      <w:r>
        <w:rPr>
          <w:rFonts w:ascii="Calibri" w:hAnsi="Calibri" w:cs="Calibri"/>
        </w:rPr>
        <w:t xml:space="preserve">Where appropriate, your calculations should be presented in a </w:t>
      </w:r>
      <w:r w:rsidR="00237AE0">
        <w:rPr>
          <w:rFonts w:ascii="Calibri" w:hAnsi="Calibri" w:cs="Calibri"/>
        </w:rPr>
        <w:t>equation format, e.g., Two (2) staff</w:t>
      </w:r>
      <w:r w:rsidR="00821D19">
        <w:rPr>
          <w:rFonts w:ascii="Calibri" w:hAnsi="Calibri" w:cs="Calibri"/>
        </w:rPr>
        <w:t xml:space="preserve"> (name of staff)</w:t>
      </w:r>
      <w:r w:rsidR="00237AE0">
        <w:rPr>
          <w:rFonts w:ascii="Calibri" w:hAnsi="Calibri" w:cs="Calibri"/>
        </w:rPr>
        <w:t xml:space="preserve"> traveling</w:t>
      </w:r>
      <w:r w:rsidR="00C11FE3">
        <w:rPr>
          <w:rFonts w:ascii="Calibri" w:hAnsi="Calibri" w:cs="Calibri"/>
        </w:rPr>
        <w:t xml:space="preserve"> to </w:t>
      </w:r>
      <w:r w:rsidR="006C7876">
        <w:rPr>
          <w:rFonts w:ascii="Calibri" w:hAnsi="Calibri" w:cs="Calibri"/>
        </w:rPr>
        <w:t>(name of event/location)</w:t>
      </w:r>
      <w:r w:rsidR="00237AE0">
        <w:rPr>
          <w:rFonts w:ascii="Calibri" w:hAnsi="Calibri" w:cs="Calibri"/>
        </w:rPr>
        <w:t xml:space="preserve"> @ </w:t>
      </w:r>
      <w:r w:rsidR="006C7876">
        <w:rPr>
          <w:rFonts w:ascii="Calibri" w:hAnsi="Calibri" w:cs="Calibri"/>
        </w:rPr>
        <w:t>$</w:t>
      </w:r>
      <w:r w:rsidR="00237AE0">
        <w:rPr>
          <w:rFonts w:ascii="Calibri" w:hAnsi="Calibri" w:cs="Calibri"/>
        </w:rPr>
        <w:t>350/trip for 2 trips = $1,400</w:t>
      </w:r>
      <w:r w:rsidR="008A5CC3">
        <w:rPr>
          <w:rFonts w:ascii="Calibri" w:hAnsi="Calibri" w:cs="Calibri"/>
        </w:rPr>
        <w:t>; or Salary</w:t>
      </w:r>
      <w:r w:rsidR="005D1159">
        <w:rPr>
          <w:rFonts w:ascii="Calibri" w:hAnsi="Calibri" w:cs="Calibri"/>
        </w:rPr>
        <w:t xml:space="preserve"> (name(s) of staff)</w:t>
      </w:r>
      <w:r w:rsidR="008A5CC3">
        <w:rPr>
          <w:rFonts w:ascii="Calibri" w:hAnsi="Calibri" w:cs="Calibri"/>
        </w:rPr>
        <w:t xml:space="preserve"> $60,000 @ 20% devoted to subgrant activities = $12,000</w:t>
      </w:r>
      <w:r w:rsidR="00C67193">
        <w:rPr>
          <w:rFonts w:ascii="Calibri" w:hAnsi="Calibri" w:cs="Calibri"/>
        </w:rPr>
        <w:t xml:space="preserve"> ; Mileage to </w:t>
      </w:r>
      <w:r w:rsidR="006C7876">
        <w:rPr>
          <w:rFonts w:ascii="Calibri" w:hAnsi="Calibri" w:cs="Calibri"/>
        </w:rPr>
        <w:t>(location)</w:t>
      </w:r>
      <w:r w:rsidR="00C67193">
        <w:rPr>
          <w:rFonts w:ascii="Calibri" w:hAnsi="Calibri" w:cs="Calibri"/>
        </w:rPr>
        <w:t xml:space="preserve"> </w:t>
      </w:r>
      <w:r w:rsidR="004F30DB">
        <w:rPr>
          <w:rFonts w:ascii="Calibri" w:hAnsi="Calibri" w:cs="Calibri"/>
        </w:rPr>
        <w:t xml:space="preserve">@ .725/mile x </w:t>
      </w:r>
      <w:r w:rsidR="00DF42FA">
        <w:rPr>
          <w:rFonts w:ascii="Calibri" w:hAnsi="Calibri" w:cs="Calibri"/>
        </w:rPr>
        <w:t xml:space="preserve">180 = </w:t>
      </w:r>
      <w:r w:rsidR="003F7184">
        <w:rPr>
          <w:rFonts w:ascii="Calibri" w:hAnsi="Calibri" w:cs="Calibri"/>
        </w:rPr>
        <w:t>$</w:t>
      </w:r>
      <w:r w:rsidR="00D6480D">
        <w:rPr>
          <w:rFonts w:ascii="Calibri" w:hAnsi="Calibri" w:cs="Calibri"/>
        </w:rPr>
        <w:t>130.50</w:t>
      </w:r>
      <w:r w:rsidR="004303D5">
        <w:rPr>
          <w:rFonts w:ascii="Calibri" w:hAnsi="Calibri" w:cs="Calibri"/>
        </w:rPr>
        <w:t>.</w:t>
      </w:r>
    </w:p>
    <w:p w14:paraId="6071E533" w14:textId="0E66C770" w:rsidR="00EF5ADE" w:rsidRDefault="00EF5ADE" w:rsidP="00EF5ADE">
      <w:pPr>
        <w:numPr>
          <w:ilvl w:val="1"/>
          <w:numId w:val="74"/>
        </w:numPr>
        <w:rPr>
          <w:rFonts w:ascii="Calibri" w:hAnsi="Calibri" w:cs="Calibri"/>
          <w:b/>
          <w:bCs/>
        </w:rPr>
      </w:pPr>
      <w:r w:rsidRPr="00EF5ADE">
        <w:rPr>
          <w:rFonts w:ascii="Calibri" w:hAnsi="Calibri" w:cs="Calibri"/>
          <w:b/>
          <w:bCs/>
        </w:rPr>
        <w:t xml:space="preserve">Definitions </w:t>
      </w:r>
    </w:p>
    <w:p w14:paraId="56B74BD4" w14:textId="47575BCA" w:rsidR="001F1212" w:rsidRDefault="001F1212" w:rsidP="001F1212">
      <w:pPr>
        <w:numPr>
          <w:ilvl w:val="2"/>
          <w:numId w:val="74"/>
        </w:numPr>
        <w:rPr>
          <w:rFonts w:ascii="Calibri" w:hAnsi="Calibri" w:cs="Calibri"/>
        </w:rPr>
      </w:pPr>
      <w:r w:rsidRPr="001F1212">
        <w:rPr>
          <w:rFonts w:ascii="Calibri" w:hAnsi="Calibri" w:cs="Calibri"/>
        </w:rPr>
        <w:t>Total Amount: Total of budget line, sum of subgrant plus matching funds.</w:t>
      </w:r>
    </w:p>
    <w:p w14:paraId="3C66B1A5" w14:textId="77777777" w:rsidR="001F1212" w:rsidRPr="001F1212" w:rsidRDefault="001F1212" w:rsidP="001F1212">
      <w:pPr>
        <w:numPr>
          <w:ilvl w:val="2"/>
          <w:numId w:val="74"/>
        </w:numPr>
        <w:rPr>
          <w:rFonts w:ascii="Calibri" w:hAnsi="Calibri" w:cs="Calibri"/>
        </w:rPr>
      </w:pPr>
      <w:r w:rsidRPr="001F1212">
        <w:rPr>
          <w:rFonts w:ascii="Calibri" w:hAnsi="Calibri" w:cs="Calibri"/>
        </w:rPr>
        <w:t>AmeriCorps Share: Amount of funding requested from AmeriCorps.</w:t>
      </w:r>
    </w:p>
    <w:p w14:paraId="497D9717" w14:textId="6547F190" w:rsidR="001F1212" w:rsidRDefault="001F1212" w:rsidP="001F1212">
      <w:pPr>
        <w:numPr>
          <w:ilvl w:val="2"/>
          <w:numId w:val="74"/>
        </w:numPr>
        <w:rPr>
          <w:rFonts w:ascii="Calibri" w:hAnsi="Calibri" w:cs="Calibri"/>
        </w:rPr>
      </w:pPr>
      <w:r w:rsidRPr="001F1212">
        <w:rPr>
          <w:rFonts w:ascii="Calibri" w:hAnsi="Calibri" w:cs="Calibri"/>
        </w:rPr>
        <w:t xml:space="preserve">Subgrantee Share: Amount of funding proposed as match from the applicant organization. </w:t>
      </w:r>
    </w:p>
    <w:p w14:paraId="0609A50F" w14:textId="588421DE" w:rsidR="001F1212" w:rsidRDefault="001F1212" w:rsidP="001F1212">
      <w:pPr>
        <w:numPr>
          <w:ilvl w:val="1"/>
          <w:numId w:val="74"/>
        </w:numPr>
        <w:rPr>
          <w:rFonts w:ascii="Calibri" w:hAnsi="Calibri" w:cs="Calibri"/>
          <w:b/>
          <w:bCs/>
        </w:rPr>
      </w:pPr>
      <w:bookmarkStart w:id="0" w:name="_Hlk228284501"/>
      <w:r w:rsidRPr="001F1212">
        <w:rPr>
          <w:rFonts w:ascii="Calibri" w:hAnsi="Calibri" w:cs="Calibri"/>
          <w:b/>
          <w:bCs/>
        </w:rPr>
        <w:t>Overview of Key Statutory and Regulatory Budget Requirements</w:t>
      </w:r>
    </w:p>
    <w:bookmarkEnd w:id="0"/>
    <w:p w14:paraId="5B936359" w14:textId="77777777" w:rsidR="000B274A" w:rsidRPr="000B274A" w:rsidRDefault="000B274A" w:rsidP="000B274A">
      <w:pPr>
        <w:numPr>
          <w:ilvl w:val="2"/>
          <w:numId w:val="74"/>
        </w:numPr>
        <w:rPr>
          <w:rFonts w:ascii="Calibri" w:hAnsi="Calibri" w:cs="Calibri"/>
        </w:rPr>
      </w:pPr>
      <w:r w:rsidRPr="000B274A">
        <w:rPr>
          <w:rFonts w:ascii="Calibri" w:hAnsi="Calibri" w:cs="Calibri"/>
        </w:rPr>
        <w:t>Equipment costs must not exceed 10% of the total AmeriCorps share.</w:t>
      </w:r>
    </w:p>
    <w:p w14:paraId="65B3AB45" w14:textId="77777777" w:rsidR="000B274A" w:rsidRPr="000B274A" w:rsidRDefault="000B274A" w:rsidP="000B274A">
      <w:pPr>
        <w:numPr>
          <w:ilvl w:val="2"/>
          <w:numId w:val="74"/>
        </w:numPr>
        <w:rPr>
          <w:rFonts w:ascii="Calibri" w:hAnsi="Calibri" w:cs="Calibri"/>
        </w:rPr>
      </w:pPr>
      <w:r w:rsidRPr="000B274A">
        <w:rPr>
          <w:rFonts w:ascii="Calibri" w:hAnsi="Calibri" w:cs="Calibri"/>
        </w:rPr>
        <w:t>Administrative costs must not exceed 5% of the total AmeriCorps funds requested.</w:t>
      </w:r>
    </w:p>
    <w:p w14:paraId="6952C6C7" w14:textId="77777777" w:rsidR="000B274A" w:rsidRPr="000B274A" w:rsidRDefault="000B274A" w:rsidP="000B274A">
      <w:pPr>
        <w:numPr>
          <w:ilvl w:val="2"/>
          <w:numId w:val="74"/>
        </w:numPr>
        <w:rPr>
          <w:rFonts w:ascii="Calibri" w:hAnsi="Calibri" w:cs="Calibri"/>
        </w:rPr>
      </w:pPr>
      <w:r w:rsidRPr="000B274A">
        <w:rPr>
          <w:rFonts w:ascii="Calibri" w:hAnsi="Calibri" w:cs="Calibri"/>
        </w:rPr>
        <w:t xml:space="preserve">You may match with cash or in-kind contributions. </w:t>
      </w:r>
    </w:p>
    <w:p w14:paraId="4C543310" w14:textId="27072062" w:rsidR="315040F2" w:rsidRPr="009D38F3" w:rsidRDefault="79D86130" w:rsidP="008A2EC9">
      <w:pPr>
        <w:pStyle w:val="ListParagraph"/>
        <w:numPr>
          <w:ilvl w:val="0"/>
          <w:numId w:val="8"/>
        </w:numPr>
        <w:rPr>
          <w:rFonts w:ascii="Calibri" w:eastAsia="Aptos" w:hAnsi="Calibri" w:cs="Calibri"/>
        </w:rPr>
      </w:pPr>
      <w:r w:rsidRPr="009D38F3">
        <w:rPr>
          <w:rFonts w:ascii="Calibri" w:eastAsia="Aptos" w:hAnsi="Calibri" w:cs="Calibri"/>
        </w:rPr>
        <w:t>The acceptable sources of matching funds are federal (with written permission), state, local, private sector, and/or other funds in accordance with applicable AmeriCorps requirements.</w:t>
      </w:r>
    </w:p>
    <w:p w14:paraId="7B5D2E5D" w14:textId="5CE738C9" w:rsidR="315040F2" w:rsidRPr="009D38F3" w:rsidRDefault="79D86130" w:rsidP="008A2EC9">
      <w:pPr>
        <w:pStyle w:val="ListParagraph"/>
        <w:numPr>
          <w:ilvl w:val="0"/>
          <w:numId w:val="8"/>
        </w:numPr>
        <w:rPr>
          <w:rFonts w:ascii="Calibri" w:eastAsia="Aptos" w:hAnsi="Calibri" w:cs="Calibri"/>
        </w:rPr>
      </w:pPr>
      <w:r w:rsidRPr="009D38F3">
        <w:rPr>
          <w:rFonts w:ascii="Calibri" w:eastAsia="Aptos" w:hAnsi="Calibri" w:cs="Calibri"/>
        </w:rPr>
        <w:t>Note: Most federal funds are not authorized to be used as match for another federal subgrant. While the AmeriCorps Agency’s legislation permits the use of non-AmeriCorps federal funds as match for the subgrantee share of the budget for operating and administrative costs, the determining factor is the other federal agency. You must ensure that your use of another federal agency’s funds as match for this national service program subgrant is permitted by the other agency and that this permission is documented in writing.</w:t>
      </w:r>
    </w:p>
    <w:p w14:paraId="2D2FB99C" w14:textId="32EDD5EF" w:rsidR="3676772F" w:rsidRDefault="74C7E96B" w:rsidP="008A2EC9">
      <w:pPr>
        <w:pStyle w:val="ListParagraph"/>
        <w:numPr>
          <w:ilvl w:val="0"/>
          <w:numId w:val="8"/>
        </w:numPr>
        <w:rPr>
          <w:rFonts w:ascii="Calibri" w:eastAsia="Aptos" w:hAnsi="Calibri" w:cs="Calibri"/>
        </w:rPr>
      </w:pPr>
      <w:r w:rsidRPr="009D38F3">
        <w:rPr>
          <w:rFonts w:ascii="Calibri" w:eastAsia="Aptos" w:hAnsi="Calibri" w:cs="Calibri"/>
        </w:rPr>
        <w:t>S</w:t>
      </w:r>
      <w:r w:rsidR="79D86130" w:rsidRPr="009D38F3">
        <w:rPr>
          <w:rFonts w:ascii="Calibri" w:eastAsia="Aptos" w:hAnsi="Calibri" w:cs="Calibri"/>
        </w:rPr>
        <w:t>pecifically identify the source and total dollar amount of cash match from private, state and local, and federal funds, and the source and total amounts of in-kind support.</w:t>
      </w:r>
      <w:r w:rsidR="2E6AE3C8" w:rsidRPr="009D38F3">
        <w:rPr>
          <w:rFonts w:ascii="Calibri" w:eastAsia="Aptos" w:hAnsi="Calibri" w:cs="Calibri"/>
        </w:rPr>
        <w:t xml:space="preserve"> Also note if it is secured or proposed.</w:t>
      </w:r>
      <w:r w:rsidR="79D86130" w:rsidRPr="009D38F3">
        <w:rPr>
          <w:rFonts w:ascii="Calibri" w:eastAsia="Aptos" w:hAnsi="Calibri" w:cs="Calibri"/>
        </w:rPr>
        <w:t xml:space="preserve"> All acronyms should be defined the first time they are used to reference non-AmeriCorps programs and sources.</w:t>
      </w:r>
    </w:p>
    <w:p w14:paraId="55F43DF2" w14:textId="460E96A4" w:rsidR="008A2EC9" w:rsidRDefault="008A2EC9" w:rsidP="008A2EC9">
      <w:pPr>
        <w:numPr>
          <w:ilvl w:val="1"/>
          <w:numId w:val="74"/>
        </w:numPr>
        <w:rPr>
          <w:rFonts w:ascii="Calibri" w:hAnsi="Calibri" w:cs="Calibri"/>
          <w:b/>
          <w:bCs/>
        </w:rPr>
      </w:pPr>
      <w:bookmarkStart w:id="1" w:name="_Hlk228285095"/>
      <w:r>
        <w:rPr>
          <w:rFonts w:ascii="Calibri" w:hAnsi="Calibri" w:cs="Calibri"/>
          <w:b/>
          <w:bCs/>
        </w:rPr>
        <w:lastRenderedPageBreak/>
        <w:t>Budget Categories</w:t>
      </w:r>
    </w:p>
    <w:bookmarkEnd w:id="1"/>
    <w:p w14:paraId="1551BE4E" w14:textId="3C345A4D" w:rsidR="653A3138" w:rsidRPr="008516B8" w:rsidRDefault="79D86130" w:rsidP="008516B8">
      <w:pPr>
        <w:numPr>
          <w:ilvl w:val="2"/>
          <w:numId w:val="74"/>
        </w:numPr>
        <w:rPr>
          <w:rFonts w:ascii="Calibri" w:hAnsi="Calibri" w:cs="Calibri"/>
          <w:b/>
          <w:bCs/>
        </w:rPr>
      </w:pPr>
      <w:r w:rsidRPr="008516B8">
        <w:rPr>
          <w:rFonts w:ascii="Calibri" w:eastAsia="Aptos" w:hAnsi="Calibri" w:cs="Calibri"/>
        </w:rPr>
        <w:t>Budget Section I</w:t>
      </w:r>
      <w:r w:rsidR="2BF5D11A" w:rsidRPr="008516B8">
        <w:rPr>
          <w:rFonts w:ascii="Calibri" w:eastAsia="Aptos" w:hAnsi="Calibri" w:cs="Calibri"/>
        </w:rPr>
        <w:t>:</w:t>
      </w:r>
      <w:r w:rsidRPr="008516B8">
        <w:rPr>
          <w:rFonts w:ascii="Calibri" w:eastAsia="Aptos" w:hAnsi="Calibri" w:cs="Calibri"/>
        </w:rPr>
        <w:t xml:space="preserve"> Program Operating Costs </w:t>
      </w:r>
    </w:p>
    <w:p w14:paraId="13E09842" w14:textId="577DAC34" w:rsidR="6D7934D1" w:rsidRPr="009D38F3" w:rsidRDefault="222A41F9" w:rsidP="5A0E31A9">
      <w:pPr>
        <w:ind w:left="1440" w:firstLine="0"/>
        <w:rPr>
          <w:rFonts w:ascii="Calibri" w:eastAsia="Aptos" w:hAnsi="Calibri" w:cs="Calibri"/>
        </w:rPr>
      </w:pPr>
      <w:r w:rsidRPr="009D38F3">
        <w:rPr>
          <w:rFonts w:ascii="Calibri" w:eastAsia="Aptos" w:hAnsi="Calibri" w:cs="Calibri"/>
        </w:rPr>
        <w:t>1</w:t>
      </w:r>
      <w:r w:rsidR="008516B8" w:rsidRPr="009D38F3">
        <w:rPr>
          <w:rFonts w:ascii="Calibri" w:eastAsia="Aptos" w:hAnsi="Calibri" w:cs="Calibri"/>
        </w:rPr>
        <w:t>. Personnel</w:t>
      </w:r>
      <w:r w:rsidR="79D86130" w:rsidRPr="009D38F3">
        <w:rPr>
          <w:rFonts w:ascii="Calibri" w:eastAsia="Aptos" w:hAnsi="Calibri" w:cs="Calibri"/>
        </w:rPr>
        <w:t xml:space="preserve"> Expenses </w:t>
      </w:r>
    </w:p>
    <w:p w14:paraId="1484B61D" w14:textId="4D2C00AE" w:rsidR="315040F2" w:rsidRPr="009D38F3" w:rsidRDefault="79D86130" w:rsidP="002C33C5">
      <w:pPr>
        <w:pStyle w:val="ListParagraph"/>
        <w:numPr>
          <w:ilvl w:val="0"/>
          <w:numId w:val="7"/>
        </w:numPr>
        <w:rPr>
          <w:rFonts w:ascii="Calibri" w:eastAsia="Aptos" w:hAnsi="Calibri" w:cs="Calibri"/>
        </w:rPr>
      </w:pPr>
      <w:r w:rsidRPr="009D38F3">
        <w:rPr>
          <w:rFonts w:ascii="Calibri" w:eastAsia="Aptos" w:hAnsi="Calibri" w:cs="Calibri"/>
        </w:rPr>
        <w:t xml:space="preserve">Under “Position/Title Description,” list each staff position separately and provide salary and percentage of effort as percentage of FTE devoted to this award. </w:t>
      </w:r>
    </w:p>
    <w:p w14:paraId="5AE1D078" w14:textId="74C0AD83" w:rsidR="315040F2" w:rsidRPr="009D38F3" w:rsidRDefault="79D86130" w:rsidP="002C33C5">
      <w:pPr>
        <w:pStyle w:val="ListParagraph"/>
        <w:numPr>
          <w:ilvl w:val="0"/>
          <w:numId w:val="7"/>
        </w:numPr>
        <w:rPr>
          <w:rFonts w:ascii="Calibri" w:eastAsia="Aptos" w:hAnsi="Calibri" w:cs="Calibri"/>
        </w:rPr>
      </w:pPr>
      <w:r w:rsidRPr="009D38F3">
        <w:rPr>
          <w:rFonts w:ascii="Calibri" w:eastAsia="Aptos" w:hAnsi="Calibri" w:cs="Calibri"/>
        </w:rPr>
        <w:t>Each staff person’s role listed in the budget must be described in the application narrative and each staff person mentioned in the narrative must be listed in the budget as either AmeriCorps or Subgrantee share.</w:t>
      </w:r>
    </w:p>
    <w:p w14:paraId="726CDAB7" w14:textId="66DEFDCD" w:rsidR="315040F2" w:rsidRPr="009D38F3" w:rsidRDefault="79D86130" w:rsidP="002C33C5">
      <w:pPr>
        <w:pStyle w:val="ListParagraph"/>
        <w:numPr>
          <w:ilvl w:val="0"/>
          <w:numId w:val="7"/>
        </w:numPr>
        <w:rPr>
          <w:rFonts w:ascii="Calibri" w:eastAsia="Aptos" w:hAnsi="Calibri" w:cs="Calibri"/>
        </w:rPr>
      </w:pPr>
      <w:r w:rsidRPr="009D38F3">
        <w:rPr>
          <w:rFonts w:ascii="Calibri" w:eastAsia="Aptos" w:hAnsi="Calibri" w:cs="Calibri"/>
        </w:rPr>
        <w:t xml:space="preserve">Because the purpose of this grant is to enable and stimulate volunteer community service, do not include the value of direct community service performed by volunteers. However, you may include the value of volunteer services contributed to the organization for organizational functions such as accounting, audit work, or training of staff and AmeriCorps members. </w:t>
      </w:r>
    </w:p>
    <w:p w14:paraId="66FF6A49" w14:textId="389F14BC" w:rsidR="315040F2" w:rsidRPr="009D38F3" w:rsidRDefault="79D86130" w:rsidP="002C33C5">
      <w:pPr>
        <w:pStyle w:val="ListParagraph"/>
        <w:numPr>
          <w:ilvl w:val="0"/>
          <w:numId w:val="7"/>
        </w:numPr>
        <w:rPr>
          <w:rFonts w:ascii="Calibri" w:eastAsia="Aptos" w:hAnsi="Calibri" w:cs="Calibri"/>
        </w:rPr>
      </w:pPr>
      <w:r w:rsidRPr="009D38F3">
        <w:rPr>
          <w:rFonts w:ascii="Calibri" w:eastAsia="Aptos" w:hAnsi="Calibri" w:cs="Calibri"/>
        </w:rPr>
        <w:t xml:space="preserve">List each staff position separately and provide salary and percentage of effort as percentage of FTE devoted to this award. Each staff person’s role listed in the narrative must be listed in the budget as either AmeriCorps or Subgrantee share. </w:t>
      </w:r>
    </w:p>
    <w:p w14:paraId="62E7F92E" w14:textId="7D1F9F31" w:rsidR="315040F2" w:rsidRPr="009D38F3" w:rsidRDefault="79D86130" w:rsidP="002C33C5">
      <w:pPr>
        <w:pStyle w:val="ListParagraph"/>
        <w:numPr>
          <w:ilvl w:val="0"/>
          <w:numId w:val="7"/>
        </w:numPr>
        <w:rPr>
          <w:rFonts w:ascii="Calibri" w:eastAsia="Aptos" w:hAnsi="Calibri" w:cs="Calibri"/>
        </w:rPr>
      </w:pPr>
      <w:r w:rsidRPr="009D38F3">
        <w:rPr>
          <w:rFonts w:ascii="Calibri" w:eastAsia="Aptos" w:hAnsi="Calibri" w:cs="Calibri"/>
        </w:rPr>
        <w:t>In order to mitigate risk associated with cost disallowances, applicants are encouraged to limit the staff in the budget to the fewest number possible.</w:t>
      </w:r>
    </w:p>
    <w:p w14:paraId="056A398B" w14:textId="5350D28B" w:rsidR="514A8EAB" w:rsidRPr="009D38F3" w:rsidRDefault="7A48BE18" w:rsidP="5A0E31A9">
      <w:pPr>
        <w:ind w:left="1440" w:firstLine="0"/>
        <w:rPr>
          <w:rFonts w:ascii="Calibri" w:eastAsia="Aptos" w:hAnsi="Calibri" w:cs="Calibri"/>
        </w:rPr>
      </w:pPr>
      <w:r w:rsidRPr="009D38F3">
        <w:rPr>
          <w:rFonts w:ascii="Calibri" w:eastAsia="Aptos" w:hAnsi="Calibri" w:cs="Calibri"/>
        </w:rPr>
        <w:t xml:space="preserve">2. </w:t>
      </w:r>
      <w:r w:rsidR="79D86130" w:rsidRPr="009D38F3">
        <w:rPr>
          <w:rFonts w:ascii="Calibri" w:eastAsia="Aptos" w:hAnsi="Calibri" w:cs="Calibri"/>
        </w:rPr>
        <w:t xml:space="preserve">Personnel Fringe Benefits </w:t>
      </w:r>
    </w:p>
    <w:p w14:paraId="0B0093CC" w14:textId="5A9BC7C4" w:rsidR="315040F2" w:rsidRPr="009D38F3" w:rsidRDefault="79D86130" w:rsidP="002C33C5">
      <w:pPr>
        <w:pStyle w:val="ListParagraph"/>
        <w:numPr>
          <w:ilvl w:val="0"/>
          <w:numId w:val="6"/>
        </w:numPr>
        <w:rPr>
          <w:rFonts w:ascii="Calibri" w:eastAsia="Aptos" w:hAnsi="Calibri" w:cs="Calibri"/>
        </w:rPr>
      </w:pPr>
      <w:r w:rsidRPr="009D38F3">
        <w:rPr>
          <w:rFonts w:ascii="Calibri" w:eastAsia="Aptos" w:hAnsi="Calibri" w:cs="Calibri"/>
        </w:rPr>
        <w:t>Identify the types of fringe benefits to be covered and</w:t>
      </w:r>
      <w:r w:rsidR="00131CF2">
        <w:rPr>
          <w:rFonts w:ascii="Calibri" w:eastAsia="Aptos" w:hAnsi="Calibri" w:cs="Calibri"/>
        </w:rPr>
        <w:t xml:space="preserve"> include</w:t>
      </w:r>
      <w:r w:rsidRPr="009D38F3">
        <w:rPr>
          <w:rFonts w:ascii="Calibri" w:eastAsia="Aptos" w:hAnsi="Calibri" w:cs="Calibri"/>
        </w:rPr>
        <w:t xml:space="preserve"> the costs </w:t>
      </w:r>
      <w:r w:rsidR="00131CF2">
        <w:rPr>
          <w:rFonts w:ascii="Calibri" w:eastAsia="Aptos" w:hAnsi="Calibri" w:cs="Calibri"/>
        </w:rPr>
        <w:t xml:space="preserve">and calculation </w:t>
      </w:r>
      <w:r w:rsidRPr="009D38F3">
        <w:rPr>
          <w:rFonts w:ascii="Calibri" w:eastAsia="Aptos" w:hAnsi="Calibri" w:cs="Calibri"/>
        </w:rPr>
        <w:t>of benefit(s) for each staff position.</w:t>
      </w:r>
      <w:r w:rsidR="00131CF2">
        <w:rPr>
          <w:rFonts w:ascii="Calibri" w:eastAsia="Aptos" w:hAnsi="Calibri" w:cs="Calibri"/>
        </w:rPr>
        <w:t xml:space="preserve">  </w:t>
      </w:r>
    </w:p>
    <w:p w14:paraId="5AD6E565" w14:textId="20D6BBAB" w:rsidR="315040F2" w:rsidRPr="009D38F3" w:rsidRDefault="79D86130" w:rsidP="002C33C5">
      <w:pPr>
        <w:pStyle w:val="ListParagraph"/>
        <w:numPr>
          <w:ilvl w:val="0"/>
          <w:numId w:val="6"/>
        </w:numPr>
        <w:rPr>
          <w:rFonts w:ascii="Calibri" w:eastAsia="Aptos" w:hAnsi="Calibri" w:cs="Calibri"/>
        </w:rPr>
      </w:pPr>
      <w:r w:rsidRPr="009D38F3">
        <w:rPr>
          <w:rFonts w:ascii="Calibri" w:eastAsia="Aptos" w:hAnsi="Calibri" w:cs="Calibri"/>
        </w:rPr>
        <w:t>Allowable fringe benefits typically include FICA, Worker’s Compensation, Retirement, SUTA, Health and Life Insurance, IRA, and 401K.</w:t>
      </w:r>
    </w:p>
    <w:p w14:paraId="5DD20637" w14:textId="09ACF9AF" w:rsidR="315040F2" w:rsidRPr="009D38F3" w:rsidRDefault="79D86130" w:rsidP="002C33C5">
      <w:pPr>
        <w:pStyle w:val="ListParagraph"/>
        <w:numPr>
          <w:ilvl w:val="0"/>
          <w:numId w:val="6"/>
        </w:numPr>
        <w:rPr>
          <w:rFonts w:ascii="Calibri" w:eastAsia="Aptos" w:hAnsi="Calibri" w:cs="Calibri"/>
        </w:rPr>
      </w:pPr>
      <w:r w:rsidRPr="009D38F3">
        <w:rPr>
          <w:rFonts w:ascii="Calibri" w:eastAsia="Aptos" w:hAnsi="Calibri" w:cs="Calibri"/>
        </w:rPr>
        <w:t>You may provide a calculation or rate for total benefits as a percentage of the salaries to which they apply or list each benefit as a separate item.</w:t>
      </w:r>
    </w:p>
    <w:p w14:paraId="1E68F5DF" w14:textId="74D0E7B2" w:rsidR="514A8EAB" w:rsidRPr="007A1A75" w:rsidRDefault="79D86130">
      <w:pPr>
        <w:pStyle w:val="ListParagraph"/>
        <w:ind w:left="2160" w:firstLine="0"/>
        <w:rPr>
          <w:rFonts w:ascii="Calibri" w:eastAsia="Aptos" w:hAnsi="Calibri" w:cs="Calibri"/>
        </w:rPr>
      </w:pPr>
      <w:r w:rsidRPr="007A1A75">
        <w:rPr>
          <w:rFonts w:ascii="Calibri" w:eastAsia="Aptos" w:hAnsi="Calibri" w:cs="Calibri"/>
        </w:rPr>
        <w:t>If a fringe benefit amount is over 30%, please list each component. Holidays, leave, and other similar vacation benefits are not included in the fringe benefit rates but rather are absorbed into the personnel expenses (salary) budget line item.</w:t>
      </w:r>
    </w:p>
    <w:p w14:paraId="41F55B9E" w14:textId="3D31AA22" w:rsidR="514A8EAB" w:rsidRPr="009D38F3" w:rsidRDefault="7A48BE18" w:rsidP="5A0E31A9">
      <w:pPr>
        <w:ind w:left="1440" w:firstLine="0"/>
        <w:rPr>
          <w:rFonts w:ascii="Calibri" w:eastAsia="Aptos" w:hAnsi="Calibri" w:cs="Calibri"/>
        </w:rPr>
      </w:pPr>
      <w:r w:rsidRPr="009D38F3">
        <w:rPr>
          <w:rFonts w:ascii="Calibri" w:eastAsia="Aptos" w:hAnsi="Calibri" w:cs="Calibri"/>
        </w:rPr>
        <w:t xml:space="preserve">3. </w:t>
      </w:r>
      <w:r w:rsidR="79D86130" w:rsidRPr="009D38F3">
        <w:rPr>
          <w:rFonts w:ascii="Calibri" w:eastAsia="Aptos" w:hAnsi="Calibri" w:cs="Calibri"/>
        </w:rPr>
        <w:t>Staff Travel</w:t>
      </w:r>
    </w:p>
    <w:p w14:paraId="3E41D827" w14:textId="49C78AD4" w:rsidR="315040F2" w:rsidRPr="009D38F3" w:rsidRDefault="79D86130" w:rsidP="002C33C5">
      <w:pPr>
        <w:pStyle w:val="ListParagraph"/>
        <w:numPr>
          <w:ilvl w:val="0"/>
          <w:numId w:val="5"/>
        </w:numPr>
        <w:rPr>
          <w:rFonts w:ascii="Calibri" w:eastAsia="Aptos" w:hAnsi="Calibri" w:cs="Calibri"/>
        </w:rPr>
      </w:pPr>
      <w:r w:rsidRPr="009D38F3">
        <w:rPr>
          <w:rFonts w:ascii="Calibri" w:eastAsia="Aptos" w:hAnsi="Calibri" w:cs="Calibri"/>
        </w:rPr>
        <w:t>Describe the purpose for which program staff will travel.</w:t>
      </w:r>
    </w:p>
    <w:p w14:paraId="351D7B28" w14:textId="538410BD" w:rsidR="315040F2" w:rsidRPr="009D38F3" w:rsidRDefault="79D86130" w:rsidP="002C33C5">
      <w:pPr>
        <w:pStyle w:val="ListParagraph"/>
        <w:numPr>
          <w:ilvl w:val="0"/>
          <w:numId w:val="5"/>
        </w:numPr>
        <w:rPr>
          <w:rFonts w:ascii="Calibri" w:eastAsia="Aptos" w:hAnsi="Calibri" w:cs="Calibri"/>
        </w:rPr>
      </w:pPr>
      <w:r w:rsidRPr="009D38F3">
        <w:rPr>
          <w:rFonts w:ascii="Calibri" w:eastAsia="Aptos" w:hAnsi="Calibri" w:cs="Calibri"/>
        </w:rPr>
        <w:t>Provide a calculation that includes itemized costs for airfare, transportation, lodging, per diem, and other travel-related expenses multiplied by the number of trips/staff.</w:t>
      </w:r>
    </w:p>
    <w:p w14:paraId="35DD32A5" w14:textId="0A8A5EF8" w:rsidR="315040F2" w:rsidRDefault="79D86130" w:rsidP="002C33C5">
      <w:pPr>
        <w:pStyle w:val="ListParagraph"/>
        <w:numPr>
          <w:ilvl w:val="0"/>
          <w:numId w:val="5"/>
        </w:numPr>
        <w:rPr>
          <w:rFonts w:ascii="Calibri" w:eastAsia="Aptos" w:hAnsi="Calibri" w:cs="Calibri"/>
        </w:rPr>
      </w:pPr>
      <w:r w:rsidRPr="009D38F3">
        <w:rPr>
          <w:rFonts w:ascii="Calibri" w:eastAsia="Aptos" w:hAnsi="Calibri" w:cs="Calibri"/>
        </w:rPr>
        <w:t xml:space="preserve">Reimbursement </w:t>
      </w:r>
      <w:r w:rsidR="00EC7E61">
        <w:rPr>
          <w:rFonts w:ascii="Calibri" w:eastAsia="Aptos" w:hAnsi="Calibri" w:cs="Calibri"/>
        </w:rPr>
        <w:t xml:space="preserve">must not exceed the federal rate </w:t>
      </w:r>
      <w:r w:rsidR="00750555">
        <w:rPr>
          <w:rFonts w:ascii="Calibri" w:eastAsia="Aptos" w:hAnsi="Calibri" w:cs="Calibri"/>
        </w:rPr>
        <w:t xml:space="preserve">for </w:t>
      </w:r>
      <w:r w:rsidR="00EC7E61">
        <w:rPr>
          <w:rFonts w:ascii="Calibri" w:eastAsia="Aptos" w:hAnsi="Calibri" w:cs="Calibri"/>
        </w:rPr>
        <w:t xml:space="preserve">any </w:t>
      </w:r>
      <w:r w:rsidR="00750555">
        <w:rPr>
          <w:rFonts w:ascii="Calibri" w:eastAsia="Aptos" w:hAnsi="Calibri" w:cs="Calibri"/>
        </w:rPr>
        <w:t xml:space="preserve">travel expenses </w:t>
      </w:r>
      <w:r w:rsidRPr="009D38F3">
        <w:rPr>
          <w:rFonts w:ascii="Calibri" w:eastAsia="Aptos" w:hAnsi="Calibri" w:cs="Calibri"/>
        </w:rPr>
        <w:t xml:space="preserve">and </w:t>
      </w:r>
      <w:r w:rsidR="00E168E8">
        <w:rPr>
          <w:rFonts w:ascii="Calibri" w:eastAsia="Aptos" w:hAnsi="Calibri" w:cs="Calibri"/>
        </w:rPr>
        <w:t xml:space="preserve">must be </w:t>
      </w:r>
      <w:r w:rsidRPr="009D38F3">
        <w:rPr>
          <w:rFonts w:ascii="Calibri" w:eastAsia="Aptos" w:hAnsi="Calibri" w:cs="Calibri"/>
        </w:rPr>
        <w:t>justified in the budget narrative. Only domestic travel is allowable.</w:t>
      </w:r>
      <w:r w:rsidR="00E168E8">
        <w:rPr>
          <w:rFonts w:ascii="Calibri" w:eastAsia="Aptos" w:hAnsi="Calibri" w:cs="Calibri"/>
        </w:rPr>
        <w:t xml:space="preserve">  Please reference</w:t>
      </w:r>
      <w:r w:rsidR="00E168E8" w:rsidRPr="00E168E8">
        <w:rPr>
          <w:rFonts w:ascii="Calibri" w:eastAsia="Aptos" w:hAnsi="Calibri" w:cs="Calibri"/>
          <w:color w:val="153D63" w:themeColor="text2" w:themeTint="E6"/>
        </w:rPr>
        <w:t xml:space="preserve"> </w:t>
      </w:r>
      <w:hyperlink r:id="rId9" w:history="1">
        <w:r w:rsidR="00E168E8" w:rsidRPr="00E168E8">
          <w:rPr>
            <w:color w:val="153D63" w:themeColor="text2" w:themeTint="E6"/>
            <w:u w:val="single"/>
          </w:rPr>
          <w:t>U.S. General Services Administration</w:t>
        </w:r>
      </w:hyperlink>
      <w:r w:rsidR="00E168E8">
        <w:rPr>
          <w:color w:val="153D63" w:themeColor="text2" w:themeTint="E6"/>
        </w:rPr>
        <w:t>.</w:t>
      </w:r>
    </w:p>
    <w:p w14:paraId="3CF5C0B3" w14:textId="77777777" w:rsidR="007A1A75" w:rsidRPr="009D38F3" w:rsidRDefault="007A1A75" w:rsidP="007A1A75">
      <w:pPr>
        <w:pStyle w:val="ListParagraph"/>
        <w:ind w:left="2160" w:firstLine="0"/>
        <w:rPr>
          <w:rFonts w:ascii="Calibri" w:eastAsia="Aptos" w:hAnsi="Calibri" w:cs="Calibri"/>
        </w:rPr>
      </w:pPr>
    </w:p>
    <w:p w14:paraId="756D0D8D" w14:textId="29481EBA" w:rsidR="315040F2" w:rsidRPr="009D38F3" w:rsidRDefault="79D86130" w:rsidP="002C33C5">
      <w:pPr>
        <w:pStyle w:val="ListParagraph"/>
        <w:numPr>
          <w:ilvl w:val="0"/>
          <w:numId w:val="8"/>
        </w:numPr>
        <w:rPr>
          <w:rFonts w:ascii="Calibri" w:eastAsia="Aptos" w:hAnsi="Calibri" w:cs="Calibri"/>
        </w:rPr>
      </w:pPr>
      <w:r w:rsidRPr="009D38F3">
        <w:rPr>
          <w:rFonts w:ascii="Calibri" w:eastAsia="Aptos" w:hAnsi="Calibri" w:cs="Calibri"/>
        </w:rPr>
        <w:t>Member Travel</w:t>
      </w:r>
    </w:p>
    <w:p w14:paraId="22C41D9C" w14:textId="26E4771B"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Describe the purpose for which members will travel.</w:t>
      </w:r>
    </w:p>
    <w:p w14:paraId="2AFA2DAC" w14:textId="25ED23F2"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lastRenderedPageBreak/>
        <w:t>Provide a calculation that includes itemized costs for airfare, transportation, lodging, per diem, and other related expenses for members to travel outside their service location or between sites.</w:t>
      </w:r>
    </w:p>
    <w:p w14:paraId="7900F648" w14:textId="279587FC"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Costs associated with local travel, such as bus passes to local sites, mileage reimbursement for use of car, etc., should be included in this budget category.</w:t>
      </w:r>
    </w:p>
    <w:p w14:paraId="2071F4FC" w14:textId="1CB7D337"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Where applicable, identify the current standard reimbursement rate(s) of the organization for mileage, daily per diem, and similar supporting information</w:t>
      </w:r>
      <w:r w:rsidR="06B62266" w:rsidRPr="009D38F3">
        <w:rPr>
          <w:rFonts w:ascii="Calibri" w:eastAsia="Aptos" w:hAnsi="Calibri" w:cs="Calibri"/>
        </w:rPr>
        <w:t>.</w:t>
      </w:r>
    </w:p>
    <w:p w14:paraId="29296032" w14:textId="224A9DE7" w:rsidR="514A8EAB" w:rsidRPr="009D38F3" w:rsidRDefault="514A8EAB" w:rsidP="5A0E31A9">
      <w:pPr>
        <w:pStyle w:val="ListParagraph"/>
        <w:ind w:left="2160" w:firstLine="0"/>
        <w:rPr>
          <w:rFonts w:ascii="Calibri" w:eastAsia="Aptos" w:hAnsi="Calibri" w:cs="Calibri"/>
        </w:rPr>
      </w:pPr>
    </w:p>
    <w:p w14:paraId="1926FA78" w14:textId="53C95C7E" w:rsidR="315040F2" w:rsidRPr="009D38F3" w:rsidRDefault="79D86130" w:rsidP="002C33C5">
      <w:pPr>
        <w:pStyle w:val="ListParagraph"/>
        <w:numPr>
          <w:ilvl w:val="0"/>
          <w:numId w:val="8"/>
        </w:numPr>
        <w:rPr>
          <w:rFonts w:ascii="Calibri" w:eastAsia="Aptos" w:hAnsi="Calibri" w:cs="Calibri"/>
        </w:rPr>
      </w:pPr>
      <w:r w:rsidRPr="009D38F3">
        <w:rPr>
          <w:rFonts w:ascii="Calibri" w:eastAsia="Aptos" w:hAnsi="Calibri" w:cs="Calibri"/>
        </w:rPr>
        <w:t xml:space="preserve">Equipment </w:t>
      </w:r>
    </w:p>
    <w:p w14:paraId="7B26AC43" w14:textId="6C33BCC1"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Equipment is defined as tangible, non-expendable personal property having a useful life of more than one year AND an acquisition cost of $5,000 or more per unit (including accessories, attachments, and modifications).</w:t>
      </w:r>
    </w:p>
    <w:p w14:paraId="7C3C329A" w14:textId="134F818A"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Any items that do not meet this definition should be entered in Supplies.</w:t>
      </w:r>
    </w:p>
    <w:p w14:paraId="713D5595" w14:textId="5AC58387"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Purchases of equipment are limited to 10% of the total AmeriCorps funds requested.</w:t>
      </w:r>
    </w:p>
    <w:p w14:paraId="5159B0F2" w14:textId="4D45917B"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If applicable, show the unit cost and number of units you are requesting.</w:t>
      </w:r>
    </w:p>
    <w:p w14:paraId="3CA14469" w14:textId="596C97DB"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Provide a brief justification for the purchase of the equipment.</w:t>
      </w:r>
    </w:p>
    <w:p w14:paraId="08EAEC12" w14:textId="51C5EFEB" w:rsidR="514A8EAB" w:rsidRPr="009D38F3" w:rsidRDefault="514A8EAB" w:rsidP="5A0E31A9">
      <w:pPr>
        <w:pStyle w:val="ListParagraph"/>
        <w:ind w:left="2160" w:firstLine="0"/>
        <w:rPr>
          <w:rFonts w:ascii="Calibri" w:eastAsia="Aptos" w:hAnsi="Calibri" w:cs="Calibri"/>
        </w:rPr>
      </w:pPr>
    </w:p>
    <w:p w14:paraId="6C9F9D5C" w14:textId="0C5B209F" w:rsidR="315040F2" w:rsidRPr="009D38F3" w:rsidRDefault="79D86130" w:rsidP="002C33C5">
      <w:pPr>
        <w:pStyle w:val="ListParagraph"/>
        <w:numPr>
          <w:ilvl w:val="0"/>
          <w:numId w:val="8"/>
        </w:numPr>
        <w:rPr>
          <w:rFonts w:ascii="Calibri" w:eastAsia="Aptos" w:hAnsi="Calibri" w:cs="Calibri"/>
        </w:rPr>
      </w:pPr>
      <w:r w:rsidRPr="009D38F3">
        <w:rPr>
          <w:rFonts w:ascii="Calibri" w:eastAsia="Aptos" w:hAnsi="Calibri" w:cs="Calibri"/>
        </w:rPr>
        <w:t xml:space="preserve">Supplies </w:t>
      </w:r>
    </w:p>
    <w:p w14:paraId="6F39983E" w14:textId="0586885A"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Include the amount of funds to purchase consumable supplies and materials, including member service gear and equipment that does not fit the definition above.</w:t>
      </w:r>
    </w:p>
    <w:p w14:paraId="62737304" w14:textId="131997A2"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You must individually list any single item costing $1,000 or more. Except for safety equipment, subgrantees may only charge the cost of member service gear to the federal share if it includes the AmeriCorps logo.</w:t>
      </w:r>
    </w:p>
    <w:p w14:paraId="2295CD37" w14:textId="4BB32B43"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Subgrantees may add the AmeriCorps logo to their own local program uniform items using federal funds.</w:t>
      </w:r>
    </w:p>
    <w:p w14:paraId="4BC517E4" w14:textId="12735FDD"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All safety gear may be charged to the federal share, regardless of whether it includes the AmeriCorps logo.</w:t>
      </w:r>
    </w:p>
    <w:p w14:paraId="1B8E2F3B" w14:textId="1CFB3C91"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All other non-AmeriCorps branded service gear must be purchased with non-AmeriCorps funds.</w:t>
      </w:r>
    </w:p>
    <w:p w14:paraId="15D71326" w14:textId="08511F68" w:rsidR="514A8EAB" w:rsidRPr="009D38F3" w:rsidRDefault="514A8EAB" w:rsidP="5A0E31A9">
      <w:pPr>
        <w:pStyle w:val="ListParagraph"/>
        <w:ind w:left="2160" w:firstLine="0"/>
        <w:rPr>
          <w:rFonts w:ascii="Calibri" w:eastAsia="Aptos" w:hAnsi="Calibri" w:cs="Calibri"/>
        </w:rPr>
      </w:pPr>
    </w:p>
    <w:p w14:paraId="5DBB00CB" w14:textId="501B06D2" w:rsidR="315040F2" w:rsidRPr="009D38F3" w:rsidRDefault="79D86130" w:rsidP="002C33C5">
      <w:pPr>
        <w:pStyle w:val="ListParagraph"/>
        <w:numPr>
          <w:ilvl w:val="0"/>
          <w:numId w:val="8"/>
        </w:numPr>
        <w:rPr>
          <w:rFonts w:ascii="Calibri" w:eastAsia="Aptos" w:hAnsi="Calibri" w:cs="Calibri"/>
        </w:rPr>
      </w:pPr>
      <w:r w:rsidRPr="009D38F3">
        <w:rPr>
          <w:rFonts w:ascii="Calibri" w:eastAsia="Aptos" w:hAnsi="Calibri" w:cs="Calibri"/>
        </w:rPr>
        <w:t xml:space="preserve">Contractual and Consultant Services </w:t>
      </w:r>
    </w:p>
    <w:p w14:paraId="1CA182A5" w14:textId="6C2B83C2"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 xml:space="preserve">Include costs for consultants related to the project’s operations, except training or evaluation consultants, who will be listed in </w:t>
      </w:r>
      <w:r w:rsidR="426AF2DC" w:rsidRPr="009D38F3">
        <w:rPr>
          <w:rFonts w:ascii="Calibri" w:eastAsia="Aptos" w:hAnsi="Calibri" w:cs="Calibri"/>
        </w:rPr>
        <w:t>Staff Training, Member Training, or Evaluation.</w:t>
      </w:r>
    </w:p>
    <w:p w14:paraId="6603F6CF" w14:textId="5C0E15B0" w:rsidR="514A8EAB" w:rsidRPr="009D38F3" w:rsidRDefault="514A8EAB" w:rsidP="5A0E31A9">
      <w:pPr>
        <w:pStyle w:val="ListParagraph"/>
        <w:ind w:left="2160" w:firstLine="0"/>
        <w:rPr>
          <w:rFonts w:ascii="Calibri" w:eastAsia="Aptos" w:hAnsi="Calibri" w:cs="Calibri"/>
        </w:rPr>
      </w:pPr>
    </w:p>
    <w:p w14:paraId="5BE39C46" w14:textId="35FE4862" w:rsidR="675EC6D6" w:rsidRPr="009D38F3" w:rsidRDefault="426AF2DC" w:rsidP="002C33C5">
      <w:pPr>
        <w:pStyle w:val="ListParagraph"/>
        <w:numPr>
          <w:ilvl w:val="0"/>
          <w:numId w:val="8"/>
        </w:numPr>
        <w:rPr>
          <w:rFonts w:ascii="Calibri" w:eastAsia="Aptos" w:hAnsi="Calibri" w:cs="Calibri"/>
        </w:rPr>
      </w:pPr>
      <w:r w:rsidRPr="009D38F3">
        <w:rPr>
          <w:rFonts w:ascii="Calibri" w:eastAsia="Aptos" w:hAnsi="Calibri" w:cs="Calibri"/>
        </w:rPr>
        <w:t>S</w:t>
      </w:r>
      <w:r w:rsidR="79D86130" w:rsidRPr="009D38F3">
        <w:rPr>
          <w:rFonts w:ascii="Calibri" w:eastAsia="Aptos" w:hAnsi="Calibri" w:cs="Calibri"/>
        </w:rPr>
        <w:t xml:space="preserve">taff Training </w:t>
      </w:r>
    </w:p>
    <w:p w14:paraId="74CB5659" w14:textId="169ECCD7" w:rsidR="315040F2"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Include the costs associated with training staff on project requirements and training to enhance the skills staff need for effective project implementation, i.e., project or financial management, team building, etc. If using a consultant(s) for training, indicate the estimated daily rate.</w:t>
      </w:r>
    </w:p>
    <w:p w14:paraId="410447C0" w14:textId="77777777" w:rsidR="00BC082C" w:rsidRPr="009D38F3" w:rsidRDefault="00BC082C" w:rsidP="00BC082C">
      <w:pPr>
        <w:pStyle w:val="ListParagraph"/>
        <w:ind w:left="2160" w:firstLine="0"/>
        <w:rPr>
          <w:rFonts w:ascii="Calibri" w:eastAsia="Aptos" w:hAnsi="Calibri" w:cs="Calibri"/>
        </w:rPr>
      </w:pPr>
    </w:p>
    <w:p w14:paraId="3196133C" w14:textId="52A7EB83" w:rsidR="315040F2" w:rsidRPr="009D38F3" w:rsidRDefault="79D86130" w:rsidP="002C33C5">
      <w:pPr>
        <w:pStyle w:val="ListParagraph"/>
        <w:numPr>
          <w:ilvl w:val="0"/>
          <w:numId w:val="8"/>
        </w:numPr>
        <w:rPr>
          <w:rFonts w:ascii="Calibri" w:eastAsia="Aptos" w:hAnsi="Calibri" w:cs="Calibri"/>
        </w:rPr>
      </w:pPr>
      <w:r w:rsidRPr="009D38F3">
        <w:rPr>
          <w:rFonts w:ascii="Calibri" w:eastAsia="Aptos" w:hAnsi="Calibri" w:cs="Calibri"/>
        </w:rPr>
        <w:t xml:space="preserve">Member Training </w:t>
      </w:r>
    </w:p>
    <w:p w14:paraId="602C30BB" w14:textId="77777777" w:rsidR="00E142BC" w:rsidRDefault="79D86130" w:rsidP="00E142BC">
      <w:pPr>
        <w:pStyle w:val="ListParagraph"/>
        <w:numPr>
          <w:ilvl w:val="1"/>
          <w:numId w:val="8"/>
        </w:numPr>
        <w:ind w:left="2160"/>
        <w:rPr>
          <w:rFonts w:ascii="Calibri" w:eastAsia="Aptos" w:hAnsi="Calibri" w:cs="Calibri"/>
        </w:rPr>
      </w:pPr>
      <w:r w:rsidRPr="009D38F3">
        <w:rPr>
          <w:rFonts w:ascii="Calibri" w:eastAsia="Aptos" w:hAnsi="Calibri" w:cs="Calibri"/>
        </w:rPr>
        <w:lastRenderedPageBreak/>
        <w:t>Include the costs associated with member training to support them in carrying out their service activities. You may also use this section to request funds to support training in Life after AmeriCorps.</w:t>
      </w:r>
    </w:p>
    <w:p w14:paraId="3D223019" w14:textId="23A3DB99" w:rsidR="514A8EAB" w:rsidRPr="00E142BC" w:rsidRDefault="79D86130" w:rsidP="00E142BC">
      <w:pPr>
        <w:pStyle w:val="ListParagraph"/>
        <w:numPr>
          <w:ilvl w:val="1"/>
          <w:numId w:val="8"/>
        </w:numPr>
        <w:ind w:left="2160"/>
        <w:rPr>
          <w:rFonts w:ascii="Calibri" w:eastAsia="Aptos" w:hAnsi="Calibri" w:cs="Calibri"/>
        </w:rPr>
      </w:pPr>
      <w:r w:rsidRPr="00E142BC">
        <w:rPr>
          <w:rFonts w:ascii="Calibri" w:eastAsia="Aptos" w:hAnsi="Calibri" w:cs="Calibri"/>
        </w:rPr>
        <w:t xml:space="preserve">If using a consultant(s) for training, indicate the estimated daily rate. </w:t>
      </w:r>
    </w:p>
    <w:p w14:paraId="5501D87B" w14:textId="77777777" w:rsidR="0066764B" w:rsidRPr="0066764B" w:rsidRDefault="0066764B" w:rsidP="0066764B">
      <w:pPr>
        <w:pStyle w:val="ListParagraph"/>
        <w:ind w:left="2160" w:firstLine="0"/>
        <w:rPr>
          <w:rFonts w:ascii="Calibri" w:eastAsia="Aptos" w:hAnsi="Calibri" w:cs="Calibri"/>
        </w:rPr>
      </w:pPr>
    </w:p>
    <w:p w14:paraId="121A8E6A" w14:textId="3931D598" w:rsidR="315040F2" w:rsidRPr="009D38F3" w:rsidRDefault="79D86130" w:rsidP="002C33C5">
      <w:pPr>
        <w:pStyle w:val="ListParagraph"/>
        <w:numPr>
          <w:ilvl w:val="0"/>
          <w:numId w:val="8"/>
        </w:numPr>
        <w:rPr>
          <w:rFonts w:ascii="Calibri" w:eastAsia="Aptos" w:hAnsi="Calibri" w:cs="Calibri"/>
        </w:rPr>
      </w:pPr>
      <w:r w:rsidRPr="009D38F3">
        <w:rPr>
          <w:rFonts w:ascii="Calibri" w:eastAsia="Aptos" w:hAnsi="Calibri" w:cs="Calibri"/>
        </w:rPr>
        <w:t>Evaluation</w:t>
      </w:r>
    </w:p>
    <w:p w14:paraId="276E6DCB" w14:textId="17CB694C" w:rsidR="315040F2"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Include costs for project evaluation activities</w:t>
      </w:r>
      <w:r w:rsidR="0066764B">
        <w:rPr>
          <w:rFonts w:ascii="Calibri" w:eastAsia="Aptos" w:hAnsi="Calibri" w:cs="Calibri"/>
        </w:rPr>
        <w:t>,</w:t>
      </w:r>
      <w:r w:rsidRPr="009D38F3">
        <w:rPr>
          <w:rFonts w:ascii="Calibri" w:eastAsia="Aptos" w:hAnsi="Calibri" w:cs="Calibri"/>
        </w:rPr>
        <w:t xml:space="preserve"> including additional staff time or subcontracts you did not budget under Personnel Expenses</w:t>
      </w:r>
      <w:r w:rsidR="70159012" w:rsidRPr="009D38F3">
        <w:rPr>
          <w:rFonts w:ascii="Calibri" w:eastAsia="Aptos" w:hAnsi="Calibri" w:cs="Calibri"/>
        </w:rPr>
        <w:t xml:space="preserve">; </w:t>
      </w:r>
      <w:r w:rsidRPr="009D38F3">
        <w:rPr>
          <w:rFonts w:ascii="Calibri" w:eastAsia="Aptos" w:hAnsi="Calibri" w:cs="Calibri"/>
        </w:rPr>
        <w:t>use of evaluation consultants, purchase of instrumentation</w:t>
      </w:r>
      <w:r w:rsidR="0066764B">
        <w:rPr>
          <w:rFonts w:ascii="Calibri" w:eastAsia="Aptos" w:hAnsi="Calibri" w:cs="Calibri"/>
        </w:rPr>
        <w:t>,</w:t>
      </w:r>
      <w:r w:rsidRPr="009D38F3">
        <w:rPr>
          <w:rFonts w:ascii="Calibri" w:eastAsia="Aptos" w:hAnsi="Calibri" w:cs="Calibri"/>
        </w:rPr>
        <w:t xml:space="preserve"> and other costs specifically for this activity.</w:t>
      </w:r>
    </w:p>
    <w:p w14:paraId="7BF5354E" w14:textId="45C8B25A"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This cost does not include the daily/weekly gathering of data to assess progress toward meeting performance measures but is a larger assessment of the impact your project is having on the community, as well as an assessment of the overall systems and project design. Indicate daily rates of consultants, where applicable.</w:t>
      </w:r>
    </w:p>
    <w:p w14:paraId="3977756A" w14:textId="6B7E13B6" w:rsidR="514A8EAB" w:rsidRPr="009D38F3" w:rsidRDefault="514A8EAB" w:rsidP="5A0E31A9">
      <w:pPr>
        <w:pStyle w:val="ListParagraph"/>
        <w:ind w:left="2160" w:firstLine="0"/>
        <w:rPr>
          <w:rFonts w:ascii="Calibri" w:eastAsia="Aptos" w:hAnsi="Calibri" w:cs="Calibri"/>
        </w:rPr>
      </w:pPr>
    </w:p>
    <w:p w14:paraId="76A9E607" w14:textId="0E85DC4C" w:rsidR="315040F2" w:rsidRPr="009D38F3" w:rsidRDefault="79D86130" w:rsidP="002C33C5">
      <w:pPr>
        <w:pStyle w:val="ListParagraph"/>
        <w:numPr>
          <w:ilvl w:val="0"/>
          <w:numId w:val="8"/>
        </w:numPr>
        <w:rPr>
          <w:rFonts w:ascii="Calibri" w:eastAsia="Aptos" w:hAnsi="Calibri" w:cs="Calibri"/>
        </w:rPr>
      </w:pPr>
      <w:r w:rsidRPr="009D38F3">
        <w:rPr>
          <w:rFonts w:ascii="Calibri" w:eastAsia="Aptos" w:hAnsi="Calibri" w:cs="Calibri"/>
        </w:rPr>
        <w:t xml:space="preserve">Other Operating Costs </w:t>
      </w:r>
    </w:p>
    <w:p w14:paraId="6C23A848" w14:textId="6FCFB236" w:rsidR="315040F2" w:rsidRPr="009D38F3" w:rsidRDefault="79D86130" w:rsidP="002C33C5">
      <w:pPr>
        <w:pStyle w:val="ListParagraph"/>
        <w:numPr>
          <w:ilvl w:val="1"/>
          <w:numId w:val="8"/>
        </w:numPr>
        <w:ind w:left="2160"/>
        <w:rPr>
          <w:rFonts w:ascii="Calibri" w:eastAsia="Aptos" w:hAnsi="Calibri" w:cs="Calibri"/>
        </w:rPr>
      </w:pPr>
      <w:r w:rsidRPr="009D38F3">
        <w:rPr>
          <w:rFonts w:ascii="Calibri" w:eastAsia="Aptos" w:hAnsi="Calibri" w:cs="Calibri"/>
        </w:rPr>
        <w:t>Allowable costs in this budget category should include when applicable:</w:t>
      </w:r>
    </w:p>
    <w:p w14:paraId="07B3340D" w14:textId="6561D809" w:rsidR="28A68639" w:rsidRPr="009D38F3" w:rsidRDefault="5554F54C" w:rsidP="002C33C5">
      <w:pPr>
        <w:pStyle w:val="ListParagraph"/>
        <w:numPr>
          <w:ilvl w:val="2"/>
          <w:numId w:val="8"/>
        </w:numPr>
        <w:ind w:left="2880"/>
        <w:rPr>
          <w:rFonts w:ascii="Calibri" w:eastAsia="Aptos" w:hAnsi="Calibri" w:cs="Calibri"/>
        </w:rPr>
      </w:pPr>
      <w:r w:rsidRPr="009D38F3">
        <w:rPr>
          <w:rFonts w:ascii="Calibri" w:eastAsia="Aptos" w:hAnsi="Calibri" w:cs="Calibri"/>
        </w:rPr>
        <w:t>O</w:t>
      </w:r>
      <w:r w:rsidR="79D86130" w:rsidRPr="009D38F3">
        <w:rPr>
          <w:rFonts w:ascii="Calibri" w:eastAsia="Aptos" w:hAnsi="Calibri" w:cs="Calibri"/>
        </w:rPr>
        <w:t>rganizations may wish to budget some funding in this category to cover the cost of NSCHCs for any staff on the planning subgrant who will eventually be involved in an operational AmeriCorps program.</w:t>
      </w:r>
    </w:p>
    <w:p w14:paraId="3413842A" w14:textId="4AC2AE4B" w:rsidR="315040F2" w:rsidRPr="009D38F3" w:rsidRDefault="79D86130" w:rsidP="002C33C5">
      <w:pPr>
        <w:pStyle w:val="ListParagraph"/>
        <w:numPr>
          <w:ilvl w:val="2"/>
          <w:numId w:val="8"/>
        </w:numPr>
        <w:ind w:left="2880"/>
        <w:rPr>
          <w:rFonts w:ascii="Calibri" w:eastAsia="Aptos" w:hAnsi="Calibri" w:cs="Calibri"/>
        </w:rPr>
      </w:pPr>
      <w:r w:rsidRPr="009D38F3">
        <w:rPr>
          <w:rFonts w:ascii="Calibri" w:eastAsia="Aptos" w:hAnsi="Calibri" w:cs="Calibri"/>
        </w:rPr>
        <w:t xml:space="preserve">Criminal history checks are required for all members and all employees who receive payment from the grant (AmeriCorps or Subgrantee share, in-kind included). </w:t>
      </w:r>
      <w:r w:rsidR="4A3C3314" w:rsidRPr="009D38F3">
        <w:rPr>
          <w:rFonts w:ascii="Calibri" w:eastAsia="Aptos" w:hAnsi="Calibri" w:cs="Calibri"/>
          <w:b/>
          <w:bCs/>
        </w:rPr>
        <w:t>Truescreen is required.</w:t>
      </w:r>
    </w:p>
    <w:p w14:paraId="33AA87B1" w14:textId="5499E945" w:rsidR="315040F2" w:rsidRDefault="79D86130" w:rsidP="002C33C5">
      <w:pPr>
        <w:pStyle w:val="ListParagraph"/>
        <w:numPr>
          <w:ilvl w:val="2"/>
          <w:numId w:val="8"/>
        </w:numPr>
        <w:ind w:left="2880"/>
        <w:rPr>
          <w:rFonts w:ascii="Calibri" w:eastAsia="Aptos" w:hAnsi="Calibri" w:cs="Calibri"/>
        </w:rPr>
      </w:pPr>
      <w:r w:rsidRPr="009D38F3">
        <w:rPr>
          <w:rFonts w:ascii="Calibri" w:eastAsia="Aptos" w:hAnsi="Calibri" w:cs="Calibri"/>
        </w:rPr>
        <w:t>Office space rental for projects operating without an approved indirect cost rate agreement that covers office space. If space is budgeted and it is shared with other projects or activities, the costs must be equitably pro-rated and allocated between the activities or projects.</w:t>
      </w:r>
    </w:p>
    <w:p w14:paraId="06803A82" w14:textId="77777777" w:rsidR="006102ED" w:rsidRDefault="006102ED" w:rsidP="0066764B">
      <w:pPr>
        <w:pStyle w:val="ListParagraph"/>
        <w:numPr>
          <w:ilvl w:val="3"/>
          <w:numId w:val="8"/>
        </w:numPr>
        <w:rPr>
          <w:rFonts w:ascii="Calibri" w:eastAsia="Aptos" w:hAnsi="Calibri" w:cs="Calibri"/>
        </w:rPr>
      </w:pPr>
      <w:r>
        <w:rPr>
          <w:rFonts w:ascii="Calibri" w:eastAsia="Aptos" w:hAnsi="Calibri" w:cs="Calibri"/>
        </w:rPr>
        <w:t xml:space="preserve">Occupancy costs can only be claimed the </w:t>
      </w:r>
      <w:r w:rsidR="0066764B">
        <w:rPr>
          <w:rFonts w:ascii="Calibri" w:eastAsia="Aptos" w:hAnsi="Calibri" w:cs="Calibri"/>
        </w:rPr>
        <w:t xml:space="preserve">length of </w:t>
      </w:r>
      <w:r>
        <w:rPr>
          <w:rFonts w:ascii="Calibri" w:eastAsia="Aptos" w:hAnsi="Calibri" w:cs="Calibri"/>
        </w:rPr>
        <w:t xml:space="preserve">the program year.  </w:t>
      </w:r>
    </w:p>
    <w:p w14:paraId="2527C85F" w14:textId="1444A819" w:rsidR="0066764B" w:rsidRPr="009D38F3" w:rsidRDefault="006102ED" w:rsidP="0066764B">
      <w:pPr>
        <w:pStyle w:val="ListParagraph"/>
        <w:numPr>
          <w:ilvl w:val="3"/>
          <w:numId w:val="8"/>
        </w:numPr>
        <w:rPr>
          <w:rFonts w:ascii="Calibri" w:eastAsia="Aptos" w:hAnsi="Calibri" w:cs="Calibri"/>
        </w:rPr>
      </w:pPr>
      <w:r>
        <w:rPr>
          <w:rFonts w:ascii="Calibri" w:eastAsia="Aptos" w:hAnsi="Calibri" w:cs="Calibri"/>
        </w:rPr>
        <w:t>Narratives must include the address and square footage of the office space or building being occupied for the program year.</w:t>
      </w:r>
      <w:r w:rsidR="0066764B">
        <w:rPr>
          <w:rFonts w:ascii="Calibri" w:eastAsia="Aptos" w:hAnsi="Calibri" w:cs="Calibri"/>
        </w:rPr>
        <w:t xml:space="preserve"> </w:t>
      </w:r>
    </w:p>
    <w:p w14:paraId="350E3826" w14:textId="048A27CF" w:rsidR="315040F2" w:rsidRPr="009D38F3" w:rsidRDefault="79D86130" w:rsidP="002C33C5">
      <w:pPr>
        <w:pStyle w:val="ListParagraph"/>
        <w:numPr>
          <w:ilvl w:val="2"/>
          <w:numId w:val="8"/>
        </w:numPr>
        <w:ind w:left="2880"/>
        <w:rPr>
          <w:rFonts w:ascii="Calibri" w:eastAsia="Aptos" w:hAnsi="Calibri" w:cs="Calibri"/>
        </w:rPr>
      </w:pPr>
      <w:r w:rsidRPr="009D38F3">
        <w:rPr>
          <w:rFonts w:ascii="Calibri" w:eastAsia="Aptos" w:hAnsi="Calibri" w:cs="Calibri"/>
        </w:rPr>
        <w:t>Utilities, telephone, internet and similar expenses that are specifically used for AmeriCorps members and AmeriCorps project staff and are not part of the organizations indirect cost/administrative cost allocation pool.</w:t>
      </w:r>
    </w:p>
    <w:p w14:paraId="43360C6B" w14:textId="0EAAEC15" w:rsidR="315040F2" w:rsidRPr="009D38F3" w:rsidRDefault="79D86130" w:rsidP="002C33C5">
      <w:pPr>
        <w:pStyle w:val="ListParagraph"/>
        <w:numPr>
          <w:ilvl w:val="2"/>
          <w:numId w:val="8"/>
        </w:numPr>
        <w:ind w:left="2880"/>
        <w:rPr>
          <w:rFonts w:ascii="Calibri" w:eastAsia="Aptos" w:hAnsi="Calibri" w:cs="Calibri"/>
        </w:rPr>
      </w:pPr>
      <w:r w:rsidRPr="009D38F3">
        <w:rPr>
          <w:rFonts w:ascii="Calibri" w:eastAsia="Aptos" w:hAnsi="Calibri" w:cs="Calibri"/>
        </w:rPr>
        <w:t xml:space="preserve">Gifts and/or food in an entertainment/event setting are not allowable costs. </w:t>
      </w:r>
    </w:p>
    <w:p w14:paraId="2EFD3E42" w14:textId="2F35EA56" w:rsidR="514A8EAB" w:rsidRPr="009D38F3" w:rsidRDefault="514A8EAB" w:rsidP="5A0E31A9">
      <w:pPr>
        <w:pStyle w:val="ListParagraph"/>
        <w:ind w:left="3060" w:firstLine="0"/>
        <w:rPr>
          <w:rFonts w:ascii="Calibri" w:eastAsia="Aptos" w:hAnsi="Calibri" w:cs="Calibri"/>
        </w:rPr>
      </w:pPr>
    </w:p>
    <w:p w14:paraId="259E757C" w14:textId="4BF249BD" w:rsidR="514A8EAB" w:rsidRPr="009D38F3" w:rsidRDefault="7A48BE18" w:rsidP="5A0E31A9">
      <w:pPr>
        <w:ind w:left="720" w:firstLine="0"/>
        <w:rPr>
          <w:rFonts w:ascii="Calibri" w:eastAsia="Aptos" w:hAnsi="Calibri" w:cs="Calibri"/>
        </w:rPr>
      </w:pPr>
      <w:r w:rsidRPr="009D38F3">
        <w:rPr>
          <w:rFonts w:ascii="Calibri" w:eastAsia="Aptos" w:hAnsi="Calibri" w:cs="Calibri"/>
        </w:rPr>
        <w:t xml:space="preserve">B. </w:t>
      </w:r>
      <w:r w:rsidR="79D86130" w:rsidRPr="009D38F3">
        <w:rPr>
          <w:rFonts w:ascii="Calibri" w:eastAsia="Aptos" w:hAnsi="Calibri" w:cs="Calibri"/>
        </w:rPr>
        <w:t>Budget Section II</w:t>
      </w:r>
      <w:r w:rsidR="0EC7B54A" w:rsidRPr="009D38F3">
        <w:rPr>
          <w:rFonts w:ascii="Calibri" w:eastAsia="Aptos" w:hAnsi="Calibri" w:cs="Calibri"/>
        </w:rPr>
        <w:t>: Member Costs</w:t>
      </w:r>
    </w:p>
    <w:p w14:paraId="63720A4E" w14:textId="3BFDC220"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Member Costs Member Costs are identified as “Living Allowance” and “Member Support Costs.”</w:t>
      </w:r>
    </w:p>
    <w:p w14:paraId="13DF9396" w14:textId="52CE369B"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 xml:space="preserve">Living </w:t>
      </w:r>
      <w:r w:rsidR="2B572B34" w:rsidRPr="009D38F3">
        <w:rPr>
          <w:rFonts w:ascii="Calibri" w:eastAsia="Aptos" w:hAnsi="Calibri" w:cs="Calibri"/>
        </w:rPr>
        <w:t xml:space="preserve">allowance </w:t>
      </w:r>
      <w:r w:rsidRPr="009D38F3">
        <w:rPr>
          <w:rFonts w:ascii="Calibri" w:eastAsia="Aptos" w:hAnsi="Calibri" w:cs="Calibri"/>
        </w:rPr>
        <w:t>narrative</w:t>
      </w:r>
      <w:r w:rsidR="3C07B90C" w:rsidRPr="009D38F3">
        <w:rPr>
          <w:rFonts w:ascii="Calibri" w:eastAsia="Aptos" w:hAnsi="Calibri" w:cs="Calibri"/>
        </w:rPr>
        <w:t>s</w:t>
      </w:r>
      <w:r w:rsidRPr="009D38F3">
        <w:rPr>
          <w:rFonts w:ascii="Calibri" w:eastAsia="Aptos" w:hAnsi="Calibri" w:cs="Calibri"/>
        </w:rPr>
        <w:t xml:space="preserve"> should clearly identify the number of members you are supporting by category (i.e., full-time, half-time, </w:t>
      </w:r>
      <w:r w:rsidR="51CD5E73" w:rsidRPr="009D38F3">
        <w:rPr>
          <w:rFonts w:ascii="Calibri" w:eastAsia="Aptos" w:hAnsi="Calibri" w:cs="Calibri"/>
        </w:rPr>
        <w:t xml:space="preserve">etc.) </w:t>
      </w:r>
      <w:r w:rsidRPr="009D38F3">
        <w:rPr>
          <w:rFonts w:ascii="Calibri" w:eastAsia="Aptos" w:hAnsi="Calibri" w:cs="Calibri"/>
        </w:rPr>
        <w:t>and the amount of living allowance they will receive, allocating appropriate portions between the AmeriCorps share (AmeriCorps Share) and grantee share (subgrantee match).</w:t>
      </w:r>
    </w:p>
    <w:p w14:paraId="781A02D5" w14:textId="0CB20A6A"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The minimum and maximum living allowance amounts are provided in this NOFO.</w:t>
      </w:r>
    </w:p>
    <w:p w14:paraId="269D6186" w14:textId="4F225F5A"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lastRenderedPageBreak/>
        <w:t>Enter the total number of members you are requesting in each category.</w:t>
      </w:r>
    </w:p>
    <w:p w14:paraId="4C8EB9C4" w14:textId="153D75AF"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Enter the average amount of the living allowance for each type of member.</w:t>
      </w:r>
    </w:p>
    <w:p w14:paraId="27167FB9" w14:textId="27F8B2D9"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In addition, enter the number of members for whom you are not requesting funds for a living allowance, but for whom you are requesting education awards.</w:t>
      </w:r>
    </w:p>
    <w:p w14:paraId="18E4C343" w14:textId="0F86323B"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Member Support Costs Consistent with the laws of the states where your members serve, you must provide members with the benefits described below.</w:t>
      </w:r>
    </w:p>
    <w:p w14:paraId="79880BD1" w14:textId="52C2988A"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FICA</w:t>
      </w:r>
    </w:p>
    <w:p w14:paraId="61DFDD30" w14:textId="7C48E7F1" w:rsidR="7C742D0E" w:rsidRPr="009D38F3" w:rsidRDefault="40728586" w:rsidP="002C33C5">
      <w:pPr>
        <w:pStyle w:val="ListParagraph"/>
        <w:numPr>
          <w:ilvl w:val="1"/>
          <w:numId w:val="4"/>
        </w:numPr>
        <w:ind w:left="1800"/>
        <w:rPr>
          <w:rFonts w:ascii="Calibri" w:eastAsia="Aptos" w:hAnsi="Calibri" w:cs="Calibri"/>
        </w:rPr>
      </w:pPr>
      <w:r w:rsidRPr="009D38F3">
        <w:rPr>
          <w:rFonts w:ascii="Calibri" w:eastAsia="Aptos" w:hAnsi="Calibri" w:cs="Calibri"/>
        </w:rPr>
        <w:t>U</w:t>
      </w:r>
      <w:r w:rsidR="79D86130" w:rsidRPr="009D38F3">
        <w:rPr>
          <w:rFonts w:ascii="Calibri" w:eastAsia="Aptos" w:hAnsi="Calibri" w:cs="Calibri"/>
        </w:rPr>
        <w:t>nless exempted by the IRS, all projects must pay FICA for any member receiving a living allowance, even when AmeriCorps does not supply the living allowance.</w:t>
      </w:r>
    </w:p>
    <w:p w14:paraId="195B0587" w14:textId="41881A14"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If exempted, please note in the narrative</w:t>
      </w:r>
      <w:r w:rsidR="6ECC40CB" w:rsidRPr="009D38F3">
        <w:rPr>
          <w:rFonts w:ascii="Calibri" w:eastAsia="Aptos" w:hAnsi="Calibri" w:cs="Calibri"/>
        </w:rPr>
        <w:t>.</w:t>
      </w:r>
    </w:p>
    <w:p w14:paraId="4BA03396" w14:textId="1AA9D7C3"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In the first column next to FICA, indicate the number of members who will receive FICA.</w:t>
      </w:r>
    </w:p>
    <w:p w14:paraId="2E737A51" w14:textId="2EF8DB4E"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Calculate the FICA at 7.65% of the total amount of the living allowance.</w:t>
      </w:r>
    </w:p>
    <w:p w14:paraId="58D7EF69" w14:textId="530F27FB"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Health Care</w:t>
      </w:r>
    </w:p>
    <w:p w14:paraId="012A03B7" w14:textId="6BC8A1C1" w:rsidR="17B4F416" w:rsidRPr="009D38F3" w:rsidRDefault="218757D3" w:rsidP="002C33C5">
      <w:pPr>
        <w:pStyle w:val="ListParagraph"/>
        <w:numPr>
          <w:ilvl w:val="1"/>
          <w:numId w:val="4"/>
        </w:numPr>
        <w:ind w:left="1800"/>
        <w:rPr>
          <w:rFonts w:ascii="Calibri" w:eastAsia="Aptos" w:hAnsi="Calibri" w:cs="Calibri"/>
        </w:rPr>
      </w:pPr>
      <w:r w:rsidRPr="009D38F3">
        <w:rPr>
          <w:rFonts w:ascii="Calibri" w:eastAsia="Aptos" w:hAnsi="Calibri" w:cs="Calibri"/>
        </w:rPr>
        <w:t>Y</w:t>
      </w:r>
      <w:r w:rsidR="79D86130" w:rsidRPr="009D38F3">
        <w:rPr>
          <w:rFonts w:ascii="Calibri" w:eastAsia="Aptos" w:hAnsi="Calibri" w:cs="Calibri"/>
        </w:rPr>
        <w:t>ou must offer or make available health care benefits to full-time members in accordance with AmeriCorps requirements.</w:t>
      </w:r>
    </w:p>
    <w:p w14:paraId="6283326F" w14:textId="13C03AFC"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 xml:space="preserve">Except as stated below, you may not pay health care benefits to less-than-full-time members with AmeriCorps funds. </w:t>
      </w:r>
    </w:p>
    <w:p w14:paraId="10A41C0C" w14:textId="34DE1D01"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You may choose to provide health care benefits to less-than-full-time members from other sources (i.e., non</w:t>
      </w:r>
      <w:r w:rsidR="107FB663" w:rsidRPr="009D38F3">
        <w:rPr>
          <w:rFonts w:ascii="Calibri" w:eastAsia="Aptos" w:hAnsi="Calibri" w:cs="Calibri"/>
        </w:rPr>
        <w:t>-</w:t>
      </w:r>
      <w:r w:rsidRPr="009D38F3">
        <w:rPr>
          <w:rFonts w:ascii="Calibri" w:eastAsia="Aptos" w:hAnsi="Calibri" w:cs="Calibri"/>
        </w:rPr>
        <w:t>federal) but the cost cannot be included in the budget.</w:t>
      </w:r>
    </w:p>
    <w:p w14:paraId="2F611E51" w14:textId="265E14F2"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Less-than-full-time members who are serving in a full-time capacity for a sustained period of time (such as a full-time summer project) are eligible for health care benefits</w:t>
      </w:r>
      <w:r w:rsidR="2152BBB5" w:rsidRPr="009D38F3">
        <w:rPr>
          <w:rFonts w:ascii="Calibri" w:eastAsia="Aptos" w:hAnsi="Calibri" w:cs="Calibri"/>
        </w:rPr>
        <w:t>.</w:t>
      </w:r>
    </w:p>
    <w:p w14:paraId="52854B39" w14:textId="08824F20"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If you budget health insurance for less-than-full</w:t>
      </w:r>
      <w:r w:rsidR="5873F9CB" w:rsidRPr="009D38F3">
        <w:rPr>
          <w:rFonts w:ascii="Calibri" w:eastAsia="Aptos" w:hAnsi="Calibri" w:cs="Calibri"/>
        </w:rPr>
        <w:t>-</w:t>
      </w:r>
      <w:r w:rsidRPr="009D38F3">
        <w:rPr>
          <w:rFonts w:ascii="Calibri" w:eastAsia="Aptos" w:hAnsi="Calibri" w:cs="Calibri"/>
        </w:rPr>
        <w:t>time members serving in a full-time capacity, indicate in the budget narrative.</w:t>
      </w:r>
    </w:p>
    <w:p w14:paraId="1DA3C129" w14:textId="0E951888"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In your budget narrative, indicate the number of members who will receive health care benefits.</w:t>
      </w:r>
    </w:p>
    <w:p w14:paraId="145599F3" w14:textId="2C1BD70E"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AmeriCorps will not pay for dependent coverage.</w:t>
      </w:r>
    </w:p>
    <w:p w14:paraId="0C4F08D6" w14:textId="79D89545"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If health care is not budgeted for all full</w:t>
      </w:r>
      <w:r w:rsidR="21F90FE8" w:rsidRPr="009D38F3">
        <w:rPr>
          <w:rFonts w:ascii="Calibri" w:eastAsia="Aptos" w:hAnsi="Calibri" w:cs="Calibri"/>
        </w:rPr>
        <w:t>-</w:t>
      </w:r>
      <w:r w:rsidRPr="009D38F3">
        <w:rPr>
          <w:rFonts w:ascii="Calibri" w:eastAsia="Aptos" w:hAnsi="Calibri" w:cs="Calibri"/>
        </w:rPr>
        <w:t>time members, please confirm all full-time members will have access to coverage.</w:t>
      </w:r>
    </w:p>
    <w:p w14:paraId="0C44B91C" w14:textId="4AC4D919" w:rsidR="315040F2" w:rsidRPr="009D38F3" w:rsidRDefault="79D86130" w:rsidP="002C33C5">
      <w:pPr>
        <w:pStyle w:val="ListParagraph"/>
        <w:numPr>
          <w:ilvl w:val="0"/>
          <w:numId w:val="4"/>
        </w:numPr>
        <w:rPr>
          <w:rFonts w:ascii="Calibri" w:eastAsia="Aptos" w:hAnsi="Calibri" w:cs="Calibri"/>
        </w:rPr>
      </w:pPr>
      <w:r w:rsidRPr="009D38F3">
        <w:rPr>
          <w:rFonts w:ascii="Calibri" w:eastAsia="Aptos" w:hAnsi="Calibri" w:cs="Calibri"/>
        </w:rPr>
        <w:t>Worker’s Compensation</w:t>
      </w:r>
    </w:p>
    <w:p w14:paraId="0CEC6579" w14:textId="2A0CEE7A" w:rsidR="315040F2" w:rsidRPr="009D38F3" w:rsidRDefault="79D86130" w:rsidP="002C33C5">
      <w:pPr>
        <w:pStyle w:val="ListParagraph"/>
        <w:numPr>
          <w:ilvl w:val="1"/>
          <w:numId w:val="4"/>
        </w:numPr>
        <w:ind w:left="1800"/>
        <w:rPr>
          <w:rFonts w:ascii="Calibri" w:eastAsia="Aptos" w:hAnsi="Calibri" w:cs="Calibri"/>
        </w:rPr>
      </w:pPr>
      <w:r w:rsidRPr="009D38F3">
        <w:rPr>
          <w:rFonts w:ascii="Calibri" w:eastAsia="Aptos" w:hAnsi="Calibri" w:cs="Calibri"/>
        </w:rPr>
        <w:t>You must budget coverage for members to cover in-service injury or accidents. Applicants can choose to provide Worker’s Compensation for AmeriCorps members OR Occupational, Accidental, Death and Dismemberment insurance.</w:t>
      </w:r>
    </w:p>
    <w:p w14:paraId="6CD2479C" w14:textId="371E2EF4" w:rsidR="514A8EAB" w:rsidRPr="009D38F3" w:rsidRDefault="7A48BE18" w:rsidP="5A0E31A9">
      <w:pPr>
        <w:ind w:left="720" w:firstLine="0"/>
        <w:rPr>
          <w:rFonts w:ascii="Calibri" w:eastAsia="Aptos" w:hAnsi="Calibri" w:cs="Calibri"/>
        </w:rPr>
      </w:pPr>
      <w:r w:rsidRPr="009D38F3">
        <w:rPr>
          <w:rFonts w:ascii="Calibri" w:eastAsia="Aptos" w:hAnsi="Calibri" w:cs="Calibri"/>
        </w:rPr>
        <w:t xml:space="preserve">C. </w:t>
      </w:r>
      <w:r w:rsidR="5E694A27" w:rsidRPr="009D38F3">
        <w:rPr>
          <w:rFonts w:ascii="Calibri" w:eastAsia="Aptos" w:hAnsi="Calibri" w:cs="Calibri"/>
        </w:rPr>
        <w:t xml:space="preserve"> </w:t>
      </w:r>
      <w:r w:rsidR="79D86130" w:rsidRPr="009D38F3">
        <w:rPr>
          <w:rFonts w:ascii="Calibri" w:eastAsia="Aptos" w:hAnsi="Calibri" w:cs="Calibri"/>
        </w:rPr>
        <w:t>Budget Section III</w:t>
      </w:r>
      <w:r w:rsidR="3DE511DA" w:rsidRPr="009D38F3">
        <w:rPr>
          <w:rFonts w:ascii="Calibri" w:eastAsia="Aptos" w:hAnsi="Calibri" w:cs="Calibri"/>
        </w:rPr>
        <w:t>: Administrative/Indirect Costs</w:t>
      </w:r>
    </w:p>
    <w:p w14:paraId="7B27891D" w14:textId="580D0576" w:rsidR="315040F2" w:rsidRPr="009D38F3" w:rsidRDefault="79D86130" w:rsidP="002C33C5">
      <w:pPr>
        <w:pStyle w:val="ListParagraph"/>
        <w:numPr>
          <w:ilvl w:val="0"/>
          <w:numId w:val="3"/>
        </w:numPr>
        <w:ind w:left="1260"/>
        <w:rPr>
          <w:rFonts w:ascii="Calibri" w:eastAsia="Aptos" w:hAnsi="Calibri" w:cs="Calibri"/>
        </w:rPr>
      </w:pPr>
      <w:r w:rsidRPr="009D38F3">
        <w:rPr>
          <w:rFonts w:ascii="Calibri" w:eastAsia="Aptos" w:hAnsi="Calibri" w:cs="Calibri"/>
        </w:rPr>
        <w:t>Administrative/Indirect Costs</w:t>
      </w:r>
    </w:p>
    <w:p w14:paraId="34CAC042" w14:textId="539558B8" w:rsidR="315040F2" w:rsidRPr="009D38F3" w:rsidRDefault="79D86130" w:rsidP="002C33C5">
      <w:pPr>
        <w:pStyle w:val="ListParagraph"/>
        <w:numPr>
          <w:ilvl w:val="1"/>
          <w:numId w:val="3"/>
        </w:numPr>
        <w:rPr>
          <w:rFonts w:ascii="Calibri" w:eastAsia="Aptos" w:hAnsi="Calibri" w:cs="Calibri"/>
        </w:rPr>
      </w:pPr>
      <w:r w:rsidRPr="009D38F3">
        <w:rPr>
          <w:rFonts w:ascii="Calibri" w:eastAsia="Aptos" w:hAnsi="Calibri" w:cs="Calibri"/>
        </w:rPr>
        <w:t>Administrative costs are general or centralized expenses of the overall administration of an organization that receives AmeriCorps funds and do not include project costs.</w:t>
      </w:r>
    </w:p>
    <w:p w14:paraId="30C5C9AA" w14:textId="5B4CE855" w:rsidR="315040F2" w:rsidRPr="009D38F3" w:rsidRDefault="79D86130" w:rsidP="002C33C5">
      <w:pPr>
        <w:pStyle w:val="ListParagraph"/>
        <w:numPr>
          <w:ilvl w:val="1"/>
          <w:numId w:val="3"/>
        </w:numPr>
        <w:rPr>
          <w:rFonts w:ascii="Calibri" w:eastAsia="Aptos" w:hAnsi="Calibri" w:cs="Calibri"/>
        </w:rPr>
      </w:pPr>
      <w:r w:rsidRPr="009D38F3">
        <w:rPr>
          <w:rFonts w:ascii="Calibri" w:eastAsia="Aptos" w:hAnsi="Calibri" w:cs="Calibri"/>
        </w:rPr>
        <w:t>For organizations that have an established indirect cost rate for federal awards, administrative costs are those costs that are included in the organization’s indirect cost rate agreement.</w:t>
      </w:r>
    </w:p>
    <w:p w14:paraId="592CC785" w14:textId="7E9F6006" w:rsidR="315040F2" w:rsidRPr="009D38F3" w:rsidRDefault="79D86130" w:rsidP="002C33C5">
      <w:pPr>
        <w:pStyle w:val="ListParagraph"/>
        <w:numPr>
          <w:ilvl w:val="1"/>
          <w:numId w:val="3"/>
        </w:numPr>
        <w:rPr>
          <w:rFonts w:ascii="Calibri" w:eastAsia="Aptos" w:hAnsi="Calibri" w:cs="Calibri"/>
        </w:rPr>
      </w:pPr>
      <w:r w:rsidRPr="009D38F3">
        <w:rPr>
          <w:rFonts w:ascii="Calibri" w:eastAsia="Aptos" w:hAnsi="Calibri" w:cs="Calibri"/>
        </w:rPr>
        <w:lastRenderedPageBreak/>
        <w:t>Such costs are generally identified with the organization’s overall operation and are further described in</w:t>
      </w:r>
      <w:r w:rsidR="00300057">
        <w:rPr>
          <w:rFonts w:ascii="Calibri" w:eastAsia="Aptos" w:hAnsi="Calibri" w:cs="Calibri"/>
        </w:rPr>
        <w:t xml:space="preserve"> the Uniform Administrative Requirements, Cost Principals, and Audit Requirements for Federal Awards (2 CFR Part 200)</w:t>
      </w:r>
      <w:r w:rsidR="00666ECD">
        <w:rPr>
          <w:rFonts w:ascii="Calibri" w:eastAsia="Aptos" w:hAnsi="Calibri" w:cs="Calibri"/>
        </w:rPr>
        <w:t xml:space="preserve">. </w:t>
      </w:r>
    </w:p>
    <w:p w14:paraId="454CCE31" w14:textId="5F47C76E" w:rsidR="315040F2" w:rsidRPr="009D38F3" w:rsidRDefault="79D86130" w:rsidP="002C33C5">
      <w:pPr>
        <w:pStyle w:val="ListParagraph"/>
        <w:numPr>
          <w:ilvl w:val="1"/>
          <w:numId w:val="3"/>
        </w:numPr>
        <w:rPr>
          <w:rFonts w:ascii="Calibri" w:eastAsia="Aptos" w:hAnsi="Calibri" w:cs="Calibri"/>
        </w:rPr>
      </w:pPr>
      <w:r w:rsidRPr="009D38F3">
        <w:rPr>
          <w:rFonts w:ascii="Calibri" w:eastAsia="Aptos" w:hAnsi="Calibri" w:cs="Calibri"/>
        </w:rPr>
        <w:t xml:space="preserve">Administrative costs may include: </w:t>
      </w:r>
    </w:p>
    <w:p w14:paraId="4CB4969C" w14:textId="22AD5ECB" w:rsidR="315040F2" w:rsidRPr="009D38F3" w:rsidRDefault="79D86130" w:rsidP="002C33C5">
      <w:pPr>
        <w:pStyle w:val="ListParagraph"/>
        <w:numPr>
          <w:ilvl w:val="2"/>
          <w:numId w:val="3"/>
        </w:numPr>
        <w:rPr>
          <w:rFonts w:ascii="Calibri" w:eastAsia="Aptos" w:hAnsi="Calibri" w:cs="Calibri"/>
        </w:rPr>
      </w:pPr>
      <w:r w:rsidRPr="009D38F3">
        <w:rPr>
          <w:rFonts w:ascii="Calibri" w:eastAsia="Aptos" w:hAnsi="Calibri" w:cs="Calibri"/>
        </w:rPr>
        <w:t>Costs for financial, accounting, auditing, contracting or general legal services.</w:t>
      </w:r>
    </w:p>
    <w:p w14:paraId="59AF111F" w14:textId="2126BB90" w:rsidR="315040F2" w:rsidRPr="009D38F3" w:rsidRDefault="79D86130" w:rsidP="002C33C5">
      <w:pPr>
        <w:pStyle w:val="ListParagraph"/>
        <w:numPr>
          <w:ilvl w:val="2"/>
          <w:numId w:val="3"/>
        </w:numPr>
        <w:rPr>
          <w:rFonts w:ascii="Calibri" w:eastAsia="Aptos" w:hAnsi="Calibri" w:cs="Calibri"/>
        </w:rPr>
      </w:pPr>
      <w:r w:rsidRPr="009D38F3">
        <w:rPr>
          <w:rFonts w:ascii="Calibri" w:eastAsia="Aptos" w:hAnsi="Calibri" w:cs="Calibri"/>
        </w:rPr>
        <w:t>Costs for internal evaluation, including overall organization’s management improvement costs (except for independent and internal evaluations of the project evaluations that are specifically related to creative methods of quality improvement).</w:t>
      </w:r>
    </w:p>
    <w:p w14:paraId="65DDBC77" w14:textId="76313E3B" w:rsidR="315040F2" w:rsidRPr="009D38F3" w:rsidRDefault="79D86130" w:rsidP="002C33C5">
      <w:pPr>
        <w:pStyle w:val="ListParagraph"/>
        <w:numPr>
          <w:ilvl w:val="2"/>
          <w:numId w:val="3"/>
        </w:numPr>
        <w:rPr>
          <w:rFonts w:ascii="Calibri" w:eastAsia="Aptos" w:hAnsi="Calibri" w:cs="Calibri"/>
        </w:rPr>
      </w:pPr>
      <w:r w:rsidRPr="009D38F3">
        <w:rPr>
          <w:rFonts w:ascii="Calibri" w:eastAsia="Aptos" w:hAnsi="Calibri" w:cs="Calibri"/>
        </w:rPr>
        <w:t>Costs for general liability insurance that protects the organization(s) responsible for operating a project, other than insurance costs solely attributable to the project. 7 | Page</w:t>
      </w:r>
    </w:p>
    <w:p w14:paraId="55D23735" w14:textId="08E6CAFF" w:rsidR="315040F2" w:rsidRPr="009D38F3" w:rsidRDefault="79D86130" w:rsidP="002C33C5">
      <w:pPr>
        <w:pStyle w:val="ListParagraph"/>
        <w:numPr>
          <w:ilvl w:val="2"/>
          <w:numId w:val="3"/>
        </w:numPr>
        <w:rPr>
          <w:rFonts w:ascii="Calibri" w:eastAsia="Aptos" w:hAnsi="Calibri" w:cs="Calibri"/>
        </w:rPr>
      </w:pPr>
      <w:r w:rsidRPr="009D38F3">
        <w:rPr>
          <w:rFonts w:ascii="Calibri" w:eastAsia="Aptos" w:hAnsi="Calibri" w:cs="Calibri"/>
        </w:rPr>
        <w:t>Costs of space, base utilities, and communication (telephone, fax, and Internet) that support administrative personnel.</w:t>
      </w:r>
    </w:p>
    <w:p w14:paraId="1BE0FB6A" w14:textId="54DB13D1" w:rsidR="315040F2" w:rsidRPr="009D38F3" w:rsidRDefault="79D86130" w:rsidP="002C33C5">
      <w:pPr>
        <w:pStyle w:val="ListParagraph"/>
        <w:numPr>
          <w:ilvl w:val="2"/>
          <w:numId w:val="3"/>
        </w:numPr>
        <w:rPr>
          <w:rFonts w:ascii="Calibri" w:eastAsia="Aptos" w:hAnsi="Calibri" w:cs="Calibri"/>
        </w:rPr>
      </w:pPr>
      <w:r w:rsidRPr="009D38F3">
        <w:rPr>
          <w:rFonts w:ascii="Calibri" w:eastAsia="Aptos" w:hAnsi="Calibri" w:cs="Calibri"/>
        </w:rPr>
        <w:t xml:space="preserve">Administrative costs may also include that portion of salaries and benefits of the project’s director and other administrative staff not attributable to the time spent in support of a specific project. </w:t>
      </w:r>
    </w:p>
    <w:p w14:paraId="128DC7C2" w14:textId="52E8A685" w:rsidR="315040F2" w:rsidRPr="009D38F3" w:rsidRDefault="79D86130" w:rsidP="002C33C5">
      <w:pPr>
        <w:pStyle w:val="ListParagraph"/>
        <w:numPr>
          <w:ilvl w:val="2"/>
          <w:numId w:val="3"/>
        </w:numPr>
        <w:rPr>
          <w:rFonts w:ascii="Calibri" w:eastAsia="Aptos" w:hAnsi="Calibri" w:cs="Calibri"/>
        </w:rPr>
      </w:pPr>
      <w:r w:rsidRPr="009D38F3">
        <w:rPr>
          <w:rFonts w:ascii="Calibri" w:eastAsia="Aptos" w:hAnsi="Calibri" w:cs="Calibri"/>
        </w:rPr>
        <w:t>Administrative costs do not include the following allowable expenses directly related to a project (including their operations and objectives), such as:</w:t>
      </w:r>
    </w:p>
    <w:p w14:paraId="47C086F4" w14:textId="14BEF51B" w:rsidR="315040F2" w:rsidRPr="009D38F3" w:rsidRDefault="79D86130" w:rsidP="002C33C5">
      <w:pPr>
        <w:pStyle w:val="ListParagraph"/>
        <w:numPr>
          <w:ilvl w:val="3"/>
          <w:numId w:val="3"/>
        </w:numPr>
        <w:rPr>
          <w:rFonts w:ascii="Calibri" w:eastAsia="Aptos" w:hAnsi="Calibri" w:cs="Calibri"/>
        </w:rPr>
      </w:pPr>
      <w:r w:rsidRPr="009D38F3">
        <w:rPr>
          <w:rFonts w:ascii="Calibri" w:eastAsia="Aptos" w:hAnsi="Calibri" w:cs="Calibri"/>
        </w:rPr>
        <w:t>Allowable direct charges for members, including living allowances, insurance payments made on behalf of members, training, and travel.</w:t>
      </w:r>
    </w:p>
    <w:p w14:paraId="079B9162" w14:textId="42AA19D7" w:rsidR="315040F2" w:rsidRPr="009D38F3" w:rsidRDefault="79D86130" w:rsidP="002C33C5">
      <w:pPr>
        <w:pStyle w:val="ListParagraph"/>
        <w:numPr>
          <w:ilvl w:val="3"/>
          <w:numId w:val="3"/>
        </w:numPr>
        <w:rPr>
          <w:rFonts w:ascii="Calibri" w:eastAsia="Aptos" w:hAnsi="Calibri" w:cs="Calibri"/>
        </w:rPr>
      </w:pPr>
      <w:r w:rsidRPr="009D38F3">
        <w:rPr>
          <w:rFonts w:ascii="Calibri" w:eastAsia="Aptos" w:hAnsi="Calibri" w:cs="Calibri"/>
        </w:rPr>
        <w:t>Costs for staff (including salary, benefits, training, and travel) who recruit, train, place, or supervise members or who develop materials used in such activities, if the purpose is for a specific project objective.</w:t>
      </w:r>
    </w:p>
    <w:p w14:paraId="1924119A" w14:textId="19285CAF" w:rsidR="315040F2" w:rsidRPr="009D38F3" w:rsidRDefault="79D86130" w:rsidP="002C33C5">
      <w:pPr>
        <w:pStyle w:val="ListParagraph"/>
        <w:numPr>
          <w:ilvl w:val="3"/>
          <w:numId w:val="3"/>
        </w:numPr>
        <w:rPr>
          <w:rFonts w:ascii="Calibri" w:eastAsia="Aptos" w:hAnsi="Calibri" w:cs="Calibri"/>
        </w:rPr>
      </w:pPr>
      <w:r w:rsidRPr="009D38F3">
        <w:rPr>
          <w:rFonts w:ascii="Calibri" w:eastAsia="Aptos" w:hAnsi="Calibri" w:cs="Calibri"/>
        </w:rPr>
        <w:t>Costs for independent evaluations and any internal evaluations of the project that are related specifically to creative methods of quality improvement.</w:t>
      </w:r>
    </w:p>
    <w:p w14:paraId="6D039A38" w14:textId="0673597F" w:rsidR="315040F2" w:rsidRPr="009D38F3" w:rsidRDefault="79D86130" w:rsidP="002C33C5">
      <w:pPr>
        <w:pStyle w:val="ListParagraph"/>
        <w:numPr>
          <w:ilvl w:val="3"/>
          <w:numId w:val="3"/>
        </w:numPr>
        <w:rPr>
          <w:rFonts w:ascii="Calibri" w:eastAsia="Aptos" w:hAnsi="Calibri" w:cs="Calibri"/>
        </w:rPr>
      </w:pPr>
      <w:r w:rsidRPr="009D38F3">
        <w:rPr>
          <w:rFonts w:ascii="Calibri" w:eastAsia="Aptos" w:hAnsi="Calibri" w:cs="Calibri"/>
        </w:rPr>
        <w:t>Costs, excluding those already covered in an organization’s indirect cost rate, attributable to staff that work in a direct project support, operational, or oversight capacity, including, but not limited to: support staff whose functions directly support project activities; staff who coordinate and facilitate single or multi-site project activities; and staff who review, disseminate, and implement AmeriCorps guidance and policies directly relating to a project.</w:t>
      </w:r>
    </w:p>
    <w:p w14:paraId="03FA49C2" w14:textId="4333C063" w:rsidR="315040F2" w:rsidRPr="009D38F3" w:rsidRDefault="79D86130" w:rsidP="002C33C5">
      <w:pPr>
        <w:pStyle w:val="ListParagraph"/>
        <w:numPr>
          <w:ilvl w:val="3"/>
          <w:numId w:val="3"/>
        </w:numPr>
        <w:rPr>
          <w:rFonts w:ascii="Calibri" w:eastAsia="Aptos" w:hAnsi="Calibri" w:cs="Calibri"/>
        </w:rPr>
      </w:pPr>
      <w:r w:rsidRPr="009D38F3">
        <w:rPr>
          <w:rFonts w:ascii="Calibri" w:eastAsia="Aptos" w:hAnsi="Calibri" w:cs="Calibri"/>
        </w:rPr>
        <w:t>Space, facility, and communications costs allocated specifically to AmeriCorps project operations, excluding those costs that are already covered by an organization’s indirect cost rate.</w:t>
      </w:r>
    </w:p>
    <w:p w14:paraId="3AF48A1A" w14:textId="70B3B563" w:rsidR="315040F2" w:rsidRPr="009D38F3" w:rsidRDefault="79D86130" w:rsidP="002C33C5">
      <w:pPr>
        <w:pStyle w:val="ListParagraph"/>
        <w:numPr>
          <w:ilvl w:val="3"/>
          <w:numId w:val="3"/>
        </w:numPr>
        <w:rPr>
          <w:rFonts w:ascii="Calibri" w:eastAsia="Aptos" w:hAnsi="Calibri" w:cs="Calibri"/>
        </w:rPr>
      </w:pPr>
      <w:r w:rsidRPr="009D38F3">
        <w:rPr>
          <w:rFonts w:ascii="Calibri" w:eastAsia="Aptos" w:hAnsi="Calibri" w:cs="Calibri"/>
        </w:rPr>
        <w:t xml:space="preserve">Other allowable costs, excluding those costs that are already covered by an organization’s indirect cost rate, specifically approved by AmeriCorps as directly attributable to a project. </w:t>
      </w:r>
    </w:p>
    <w:p w14:paraId="7A11B182" w14:textId="7B3F3BF8" w:rsidR="514A8EAB" w:rsidRPr="009D38F3" w:rsidRDefault="514A8EAB" w:rsidP="5A0E31A9">
      <w:pPr>
        <w:pStyle w:val="ListParagraph"/>
        <w:ind w:left="3240" w:firstLine="0"/>
        <w:rPr>
          <w:rFonts w:ascii="Calibri" w:eastAsia="Aptos" w:hAnsi="Calibri" w:cs="Calibri"/>
        </w:rPr>
      </w:pPr>
    </w:p>
    <w:p w14:paraId="14D00ED1" w14:textId="0625718F" w:rsidR="552F93E0" w:rsidRPr="007B0F5D" w:rsidRDefault="79D86130" w:rsidP="007B0F5D">
      <w:pPr>
        <w:pStyle w:val="ListParagraph"/>
        <w:numPr>
          <w:ilvl w:val="0"/>
          <w:numId w:val="3"/>
        </w:numPr>
        <w:rPr>
          <w:rFonts w:ascii="Calibri" w:eastAsia="Aptos" w:hAnsi="Calibri" w:cs="Calibri"/>
        </w:rPr>
      </w:pPr>
      <w:r w:rsidRPr="007B0F5D">
        <w:rPr>
          <w:rFonts w:ascii="Calibri" w:eastAsia="Aptos" w:hAnsi="Calibri" w:cs="Calibri"/>
        </w:rPr>
        <w:t>Options for Calculating Administrative/Indirect Costs</w:t>
      </w:r>
    </w:p>
    <w:p w14:paraId="1E7B9590" w14:textId="739B5BA5" w:rsidR="007B0F5D" w:rsidRDefault="007B0F5D" w:rsidP="007B0F5D">
      <w:pPr>
        <w:pStyle w:val="ListParagraph"/>
        <w:numPr>
          <w:ilvl w:val="1"/>
          <w:numId w:val="3"/>
        </w:numPr>
        <w:rPr>
          <w:rFonts w:ascii="Calibri" w:eastAsia="Aptos" w:hAnsi="Calibri" w:cs="Calibri"/>
        </w:rPr>
      </w:pPr>
      <w:r>
        <w:rPr>
          <w:rFonts w:ascii="Calibri" w:eastAsia="Aptos" w:hAnsi="Calibri" w:cs="Calibri"/>
        </w:rPr>
        <w:t xml:space="preserve">Applicants choose one of two methods to calculate allowable administrative costs: Corporation fixed percentage method or a federally approved indirect cost rate method. </w:t>
      </w:r>
    </w:p>
    <w:p w14:paraId="78E622AA" w14:textId="77777777" w:rsidR="007B0F5D" w:rsidRPr="007B0F5D" w:rsidRDefault="007B0F5D" w:rsidP="007B0F5D">
      <w:pPr>
        <w:numPr>
          <w:ilvl w:val="1"/>
          <w:numId w:val="3"/>
        </w:numPr>
        <w:rPr>
          <w:rFonts w:ascii="Calibri" w:eastAsia="Aptos" w:hAnsi="Calibri" w:cs="Calibri"/>
        </w:rPr>
      </w:pPr>
      <w:r w:rsidRPr="007B0F5D">
        <w:rPr>
          <w:rFonts w:ascii="Calibri" w:eastAsia="Aptos" w:hAnsi="Calibri" w:cs="Calibri"/>
        </w:rPr>
        <w:lastRenderedPageBreak/>
        <w:t xml:space="preserve">Regardless of the option chosen, AmeriCorps’ share of administrative costs is limited by statute to 5% of the total AmeriCorps funds expended under this subgrant. </w:t>
      </w:r>
    </w:p>
    <w:p w14:paraId="49701D5B" w14:textId="177119DA" w:rsidR="007B0F5D" w:rsidRDefault="00176F4F" w:rsidP="00176F4F">
      <w:pPr>
        <w:pStyle w:val="ListParagraph"/>
        <w:numPr>
          <w:ilvl w:val="0"/>
          <w:numId w:val="3"/>
        </w:numPr>
        <w:rPr>
          <w:rFonts w:ascii="Calibri" w:eastAsia="Aptos" w:hAnsi="Calibri" w:cs="Calibri"/>
        </w:rPr>
      </w:pPr>
      <w:r>
        <w:rPr>
          <w:rFonts w:ascii="Calibri" w:eastAsia="Aptos" w:hAnsi="Calibri" w:cs="Calibri"/>
        </w:rPr>
        <w:t>Corporation Fixed Percentage Method</w:t>
      </w:r>
    </w:p>
    <w:p w14:paraId="48AFC0B0" w14:textId="77777777" w:rsidR="00176F4F" w:rsidRPr="00176F4F" w:rsidRDefault="00176F4F" w:rsidP="00176F4F">
      <w:pPr>
        <w:numPr>
          <w:ilvl w:val="1"/>
          <w:numId w:val="3"/>
        </w:numPr>
        <w:rPr>
          <w:rFonts w:ascii="Calibri" w:eastAsia="Aptos" w:hAnsi="Calibri" w:cs="Calibri"/>
        </w:rPr>
      </w:pPr>
      <w:r w:rsidRPr="00176F4F">
        <w:rPr>
          <w:rFonts w:ascii="Calibri" w:eastAsia="Aptos" w:hAnsi="Calibri" w:cs="Calibri"/>
        </w:rPr>
        <w:t>The Corporation fixed rate allows you to charge administrative costs up to a cap without a federally approved indirect cost rate and without documentation supporting the allocation.</w:t>
      </w:r>
    </w:p>
    <w:p w14:paraId="5304909A" w14:textId="77777777" w:rsidR="00176F4F" w:rsidRPr="00176F4F" w:rsidRDefault="00176F4F" w:rsidP="00176F4F">
      <w:pPr>
        <w:numPr>
          <w:ilvl w:val="1"/>
          <w:numId w:val="3"/>
        </w:numPr>
        <w:rPr>
          <w:rFonts w:ascii="Calibri" w:eastAsia="Aptos" w:hAnsi="Calibri" w:cs="Calibri"/>
        </w:rPr>
      </w:pPr>
      <w:r w:rsidRPr="00176F4F">
        <w:rPr>
          <w:rFonts w:ascii="Calibri" w:eastAsia="Aptos" w:hAnsi="Calibri" w:cs="Calibri"/>
        </w:rPr>
        <w:t>If you choose the Corporation Fixed Percentage Method you may charge, for administrative costs, a fixed 5% of the total of the AmeriCorps funds expended. In order to charge this fixed 5%, the subgrantee match for administrative costs may not exceed 10% of all direct cost expenditures.</w:t>
      </w:r>
    </w:p>
    <w:p w14:paraId="535B5A3D" w14:textId="77777777" w:rsidR="00176F4F" w:rsidRPr="00176F4F" w:rsidRDefault="00176F4F" w:rsidP="00176F4F">
      <w:pPr>
        <w:numPr>
          <w:ilvl w:val="1"/>
          <w:numId w:val="3"/>
        </w:numPr>
        <w:rPr>
          <w:rFonts w:ascii="Calibri" w:eastAsia="Aptos" w:hAnsi="Calibri" w:cs="Calibri"/>
        </w:rPr>
      </w:pPr>
      <w:r w:rsidRPr="00176F4F">
        <w:rPr>
          <w:rFonts w:ascii="Calibri" w:eastAsia="Aptos" w:hAnsi="Calibri" w:cs="Calibri"/>
        </w:rPr>
        <w:t>Applicants using this method may calculate these figures in the following way:</w:t>
      </w:r>
    </w:p>
    <w:p w14:paraId="59F7257B" w14:textId="77777777" w:rsidR="00176F4F" w:rsidRPr="00176F4F" w:rsidRDefault="00176F4F" w:rsidP="00176F4F">
      <w:pPr>
        <w:numPr>
          <w:ilvl w:val="2"/>
          <w:numId w:val="3"/>
        </w:numPr>
        <w:rPr>
          <w:rFonts w:ascii="Calibri" w:eastAsia="Aptos" w:hAnsi="Calibri" w:cs="Calibri"/>
        </w:rPr>
      </w:pPr>
      <w:r w:rsidRPr="00176F4F">
        <w:rPr>
          <w:rFonts w:ascii="Calibri" w:eastAsia="Aptos" w:hAnsi="Calibri" w:cs="Calibri"/>
        </w:rPr>
        <w:t>AmeriCorps Share: Multiply the sum of the AmeriCorps funding shares of Sections I and II by 0.0526. This is the maximum amount you can request as AmeriCorps share. Enter this amount as the AmeriCorps share for Section III A.</w:t>
      </w:r>
    </w:p>
    <w:p w14:paraId="00FC45E8" w14:textId="77777777" w:rsidR="00176F4F" w:rsidRPr="00176F4F" w:rsidRDefault="00176F4F" w:rsidP="00176F4F">
      <w:pPr>
        <w:numPr>
          <w:ilvl w:val="2"/>
          <w:numId w:val="3"/>
        </w:numPr>
        <w:rPr>
          <w:rFonts w:ascii="Calibri" w:eastAsia="Aptos" w:hAnsi="Calibri" w:cs="Calibri"/>
        </w:rPr>
      </w:pPr>
      <w:r w:rsidRPr="00176F4F">
        <w:rPr>
          <w:rFonts w:ascii="Calibri" w:eastAsia="Aptos" w:hAnsi="Calibri" w:cs="Calibri"/>
        </w:rPr>
        <w:t>Subgrantee Share: Then multiply the total (both AmeriCorps and Subgrantee share) of Sections I and II by 10% (0.10) and enter this amount as the subgrantee share for Section III. A.</w:t>
      </w:r>
    </w:p>
    <w:p w14:paraId="0E1B7A72" w14:textId="77777777" w:rsidR="00D2798B" w:rsidRPr="00D2798B" w:rsidRDefault="00D2798B" w:rsidP="00D2798B">
      <w:pPr>
        <w:numPr>
          <w:ilvl w:val="2"/>
          <w:numId w:val="3"/>
        </w:numPr>
        <w:rPr>
          <w:rFonts w:ascii="Calibri" w:eastAsia="Aptos" w:hAnsi="Calibri" w:cs="Calibri"/>
        </w:rPr>
      </w:pPr>
      <w:r w:rsidRPr="00D2798B">
        <w:rPr>
          <w:rFonts w:ascii="Calibri" w:eastAsia="Aptos" w:hAnsi="Calibri" w:cs="Calibri"/>
        </w:rPr>
        <w:t xml:space="preserve">Sum: Enter the sum of the AmeriCorps and Subgrantee shares under Total Amount. Federally Approved Indirect Cost Rate Method If you have a Federally Approved Indirect Cost (IDC) rate and choose to use it, the IDC rate will constitute documentation of your administrative costs including the 5% maximum payable by AmeriCorps. </w:t>
      </w:r>
    </w:p>
    <w:p w14:paraId="24DACBBC" w14:textId="77777777" w:rsidR="00D2798B" w:rsidRPr="00D2798B" w:rsidRDefault="00D2798B" w:rsidP="00D2798B">
      <w:pPr>
        <w:numPr>
          <w:ilvl w:val="2"/>
          <w:numId w:val="3"/>
        </w:numPr>
        <w:rPr>
          <w:rFonts w:ascii="Calibri" w:eastAsia="Aptos" w:hAnsi="Calibri" w:cs="Calibri"/>
        </w:rPr>
      </w:pPr>
      <w:r w:rsidRPr="00D2798B">
        <w:rPr>
          <w:rFonts w:ascii="Calibri" w:eastAsia="Aptos" w:hAnsi="Calibri" w:cs="Calibri"/>
        </w:rPr>
        <w:t xml:space="preserve">Specify the Cost Type for which your organization has current documentation on file, i.e., Provisional, Predetermined, Fixed, or Final indirect cost rate. </w:t>
      </w:r>
    </w:p>
    <w:p w14:paraId="5564F5AB" w14:textId="77777777" w:rsidR="00D2798B" w:rsidRPr="00D2798B" w:rsidRDefault="00D2798B" w:rsidP="00D2798B">
      <w:pPr>
        <w:numPr>
          <w:ilvl w:val="2"/>
          <w:numId w:val="3"/>
        </w:numPr>
        <w:rPr>
          <w:rFonts w:ascii="Calibri" w:eastAsia="Aptos" w:hAnsi="Calibri" w:cs="Calibri"/>
        </w:rPr>
      </w:pPr>
      <w:r w:rsidRPr="00D2798B">
        <w:rPr>
          <w:rFonts w:ascii="Calibri" w:eastAsia="Aptos" w:hAnsi="Calibri" w:cs="Calibri"/>
        </w:rPr>
        <w:t xml:space="preserve">Supply your approved IDC rate (percentage) and, importantly, the base upon which this rate is calculated (direct salaries, salaries and fringe benefits, etc.). It is at your discretion whether to claim your entire IDC rate to calculate administrative costs. </w:t>
      </w:r>
    </w:p>
    <w:p w14:paraId="1A70DD22" w14:textId="4D7855B8" w:rsidR="00176F4F" w:rsidRDefault="00D2798B" w:rsidP="00D2798B">
      <w:pPr>
        <w:numPr>
          <w:ilvl w:val="2"/>
          <w:numId w:val="3"/>
        </w:numPr>
        <w:rPr>
          <w:rFonts w:ascii="Calibri" w:eastAsia="Aptos" w:hAnsi="Calibri" w:cs="Calibri"/>
        </w:rPr>
      </w:pPr>
      <w:r w:rsidRPr="00D2798B">
        <w:rPr>
          <w:rFonts w:ascii="Calibri" w:eastAsia="Aptos" w:hAnsi="Calibri" w:cs="Calibri"/>
        </w:rPr>
        <w:t xml:space="preserve">If you choose to claim a lower rate, please include this rate under the Rate Claimed field. </w:t>
      </w:r>
    </w:p>
    <w:sectPr w:rsidR="00176F4F" w:rsidSect="00AF34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591C"/>
    <w:multiLevelType w:val="hybridMultilevel"/>
    <w:tmpl w:val="88BE46E0"/>
    <w:lvl w:ilvl="0" w:tplc="89D4EAD6">
      <w:start w:val="1"/>
      <w:numFmt w:val="decimal"/>
      <w:lvlText w:val="%1."/>
      <w:lvlJc w:val="left"/>
      <w:pPr>
        <w:ind w:left="1440" w:hanging="360"/>
      </w:pPr>
    </w:lvl>
    <w:lvl w:ilvl="1" w:tplc="AFE6AFDC">
      <w:start w:val="1"/>
      <w:numFmt w:val="lowerLetter"/>
      <w:lvlText w:val="%2."/>
      <w:lvlJc w:val="left"/>
      <w:pPr>
        <w:ind w:left="2160" w:hanging="360"/>
      </w:pPr>
    </w:lvl>
    <w:lvl w:ilvl="2" w:tplc="2F16D3F6">
      <w:start w:val="1"/>
      <w:numFmt w:val="lowerRoman"/>
      <w:lvlText w:val="%3."/>
      <w:lvlJc w:val="right"/>
      <w:pPr>
        <w:ind w:left="2880" w:hanging="180"/>
      </w:pPr>
    </w:lvl>
    <w:lvl w:ilvl="3" w:tplc="2DAA1738">
      <w:start w:val="1"/>
      <w:numFmt w:val="decimal"/>
      <w:lvlText w:val="%4."/>
      <w:lvlJc w:val="left"/>
      <w:pPr>
        <w:ind w:left="3600" w:hanging="360"/>
      </w:pPr>
    </w:lvl>
    <w:lvl w:ilvl="4" w:tplc="115C5AF8">
      <w:start w:val="1"/>
      <w:numFmt w:val="lowerLetter"/>
      <w:lvlText w:val="%5."/>
      <w:lvlJc w:val="left"/>
      <w:pPr>
        <w:ind w:left="4320" w:hanging="360"/>
      </w:pPr>
    </w:lvl>
    <w:lvl w:ilvl="5" w:tplc="6F26993C">
      <w:start w:val="1"/>
      <w:numFmt w:val="lowerRoman"/>
      <w:lvlText w:val="%6."/>
      <w:lvlJc w:val="right"/>
      <w:pPr>
        <w:ind w:left="5040" w:hanging="180"/>
      </w:pPr>
    </w:lvl>
    <w:lvl w:ilvl="6" w:tplc="1396D24C">
      <w:start w:val="1"/>
      <w:numFmt w:val="decimal"/>
      <w:lvlText w:val="%7."/>
      <w:lvlJc w:val="left"/>
      <w:pPr>
        <w:ind w:left="5760" w:hanging="360"/>
      </w:pPr>
    </w:lvl>
    <w:lvl w:ilvl="7" w:tplc="28EADCB4">
      <w:start w:val="1"/>
      <w:numFmt w:val="lowerLetter"/>
      <w:lvlText w:val="%8."/>
      <w:lvlJc w:val="left"/>
      <w:pPr>
        <w:ind w:left="6480" w:hanging="360"/>
      </w:pPr>
    </w:lvl>
    <w:lvl w:ilvl="8" w:tplc="8068A11A">
      <w:start w:val="1"/>
      <w:numFmt w:val="lowerRoman"/>
      <w:lvlText w:val="%9."/>
      <w:lvlJc w:val="right"/>
      <w:pPr>
        <w:ind w:left="7200" w:hanging="180"/>
      </w:pPr>
    </w:lvl>
  </w:abstractNum>
  <w:abstractNum w:abstractNumId="1" w15:restartNumberingAfterBreak="0">
    <w:nsid w:val="021475B1"/>
    <w:multiLevelType w:val="hybridMultilevel"/>
    <w:tmpl w:val="AD1A5CE8"/>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0CEF6FEC"/>
    <w:multiLevelType w:val="hybridMultilevel"/>
    <w:tmpl w:val="B6C88C64"/>
    <w:lvl w:ilvl="0" w:tplc="5B44D5EE">
      <w:start w:val="1"/>
      <w:numFmt w:val="lowerLetter"/>
      <w:lvlText w:val="%1)"/>
      <w:lvlJc w:val="left"/>
      <w:pPr>
        <w:ind w:left="8730" w:hanging="360"/>
      </w:pPr>
      <w:rPr>
        <w:rFonts w:hint="default"/>
      </w:rPr>
    </w:lvl>
    <w:lvl w:ilvl="1" w:tplc="04090019" w:tentative="1">
      <w:start w:val="1"/>
      <w:numFmt w:val="lowerLetter"/>
      <w:lvlText w:val="%2."/>
      <w:lvlJc w:val="left"/>
      <w:pPr>
        <w:ind w:left="9450" w:hanging="360"/>
      </w:pPr>
    </w:lvl>
    <w:lvl w:ilvl="2" w:tplc="0409001B" w:tentative="1">
      <w:start w:val="1"/>
      <w:numFmt w:val="lowerRoman"/>
      <w:lvlText w:val="%3."/>
      <w:lvlJc w:val="right"/>
      <w:pPr>
        <w:ind w:left="10170" w:hanging="180"/>
      </w:pPr>
    </w:lvl>
    <w:lvl w:ilvl="3" w:tplc="0409000F" w:tentative="1">
      <w:start w:val="1"/>
      <w:numFmt w:val="decimal"/>
      <w:lvlText w:val="%4."/>
      <w:lvlJc w:val="left"/>
      <w:pPr>
        <w:ind w:left="10890" w:hanging="360"/>
      </w:pPr>
    </w:lvl>
    <w:lvl w:ilvl="4" w:tplc="04090019" w:tentative="1">
      <w:start w:val="1"/>
      <w:numFmt w:val="lowerLetter"/>
      <w:lvlText w:val="%5."/>
      <w:lvlJc w:val="left"/>
      <w:pPr>
        <w:ind w:left="11610" w:hanging="360"/>
      </w:pPr>
    </w:lvl>
    <w:lvl w:ilvl="5" w:tplc="0409001B" w:tentative="1">
      <w:start w:val="1"/>
      <w:numFmt w:val="lowerRoman"/>
      <w:lvlText w:val="%6."/>
      <w:lvlJc w:val="right"/>
      <w:pPr>
        <w:ind w:left="12330" w:hanging="180"/>
      </w:pPr>
    </w:lvl>
    <w:lvl w:ilvl="6" w:tplc="0409000F" w:tentative="1">
      <w:start w:val="1"/>
      <w:numFmt w:val="decimal"/>
      <w:lvlText w:val="%7."/>
      <w:lvlJc w:val="left"/>
      <w:pPr>
        <w:ind w:left="13050" w:hanging="360"/>
      </w:pPr>
    </w:lvl>
    <w:lvl w:ilvl="7" w:tplc="04090019" w:tentative="1">
      <w:start w:val="1"/>
      <w:numFmt w:val="lowerLetter"/>
      <w:lvlText w:val="%8."/>
      <w:lvlJc w:val="left"/>
      <w:pPr>
        <w:ind w:left="13770" w:hanging="360"/>
      </w:pPr>
    </w:lvl>
    <w:lvl w:ilvl="8" w:tplc="0409001B" w:tentative="1">
      <w:start w:val="1"/>
      <w:numFmt w:val="lowerRoman"/>
      <w:lvlText w:val="%9."/>
      <w:lvlJc w:val="right"/>
      <w:pPr>
        <w:ind w:left="14490" w:hanging="180"/>
      </w:pPr>
    </w:lvl>
  </w:abstractNum>
  <w:abstractNum w:abstractNumId="3" w15:restartNumberingAfterBreak="0">
    <w:nsid w:val="0E7F882D"/>
    <w:multiLevelType w:val="hybridMultilevel"/>
    <w:tmpl w:val="375ADF52"/>
    <w:lvl w:ilvl="0" w:tplc="C76C05A2">
      <w:start w:val="1"/>
      <w:numFmt w:val="lowerLetter"/>
      <w:lvlText w:val="%1."/>
      <w:lvlJc w:val="left"/>
      <w:pPr>
        <w:ind w:left="2160" w:hanging="360"/>
      </w:pPr>
    </w:lvl>
    <w:lvl w:ilvl="1" w:tplc="7556EBA8">
      <w:start w:val="1"/>
      <w:numFmt w:val="lowerLetter"/>
      <w:lvlText w:val="%2."/>
      <w:lvlJc w:val="left"/>
      <w:pPr>
        <w:ind w:left="2880" w:hanging="360"/>
      </w:pPr>
    </w:lvl>
    <w:lvl w:ilvl="2" w:tplc="2EC812BC">
      <w:start w:val="1"/>
      <w:numFmt w:val="lowerRoman"/>
      <w:lvlText w:val="%3."/>
      <w:lvlJc w:val="right"/>
      <w:pPr>
        <w:ind w:left="3600" w:hanging="180"/>
      </w:pPr>
    </w:lvl>
    <w:lvl w:ilvl="3" w:tplc="325C6766">
      <w:start w:val="1"/>
      <w:numFmt w:val="decimal"/>
      <w:lvlText w:val="%4."/>
      <w:lvlJc w:val="left"/>
      <w:pPr>
        <w:ind w:left="4320" w:hanging="360"/>
      </w:pPr>
    </w:lvl>
    <w:lvl w:ilvl="4" w:tplc="2822F034">
      <w:start w:val="1"/>
      <w:numFmt w:val="lowerLetter"/>
      <w:lvlText w:val="%5."/>
      <w:lvlJc w:val="left"/>
      <w:pPr>
        <w:ind w:left="5040" w:hanging="360"/>
      </w:pPr>
    </w:lvl>
    <w:lvl w:ilvl="5" w:tplc="979CCBD2">
      <w:start w:val="1"/>
      <w:numFmt w:val="lowerRoman"/>
      <w:lvlText w:val="%6."/>
      <w:lvlJc w:val="right"/>
      <w:pPr>
        <w:ind w:left="5760" w:hanging="180"/>
      </w:pPr>
    </w:lvl>
    <w:lvl w:ilvl="6" w:tplc="BB264D2A">
      <w:start w:val="1"/>
      <w:numFmt w:val="decimal"/>
      <w:lvlText w:val="%7."/>
      <w:lvlJc w:val="left"/>
      <w:pPr>
        <w:ind w:left="6480" w:hanging="360"/>
      </w:pPr>
    </w:lvl>
    <w:lvl w:ilvl="7" w:tplc="D9F4011A">
      <w:start w:val="1"/>
      <w:numFmt w:val="lowerLetter"/>
      <w:lvlText w:val="%8."/>
      <w:lvlJc w:val="left"/>
      <w:pPr>
        <w:ind w:left="7200" w:hanging="360"/>
      </w:pPr>
    </w:lvl>
    <w:lvl w:ilvl="8" w:tplc="BFD00D4A">
      <w:start w:val="1"/>
      <w:numFmt w:val="lowerRoman"/>
      <w:lvlText w:val="%9."/>
      <w:lvlJc w:val="right"/>
      <w:pPr>
        <w:ind w:left="7920" w:hanging="180"/>
      </w:pPr>
    </w:lvl>
  </w:abstractNum>
  <w:abstractNum w:abstractNumId="4" w15:restartNumberingAfterBreak="0">
    <w:nsid w:val="1586776F"/>
    <w:multiLevelType w:val="hybridMultilevel"/>
    <w:tmpl w:val="3692FE26"/>
    <w:lvl w:ilvl="0" w:tplc="FFFFFFFF">
      <w:start w:val="1"/>
      <w:numFmt w:val="decimal"/>
      <w:lvlText w:val="%1."/>
      <w:lvlJc w:val="left"/>
      <w:pPr>
        <w:ind w:left="3330" w:hanging="360"/>
      </w:pPr>
    </w:lvl>
    <w:lvl w:ilvl="1" w:tplc="FFFFFFFF">
      <w:start w:val="1"/>
      <w:numFmt w:val="lowerLetter"/>
      <w:lvlText w:val="%2."/>
      <w:lvlJc w:val="left"/>
      <w:pPr>
        <w:ind w:left="4050" w:hanging="360"/>
      </w:pPr>
    </w:lvl>
    <w:lvl w:ilvl="2" w:tplc="FFFFFFFF">
      <w:start w:val="1"/>
      <w:numFmt w:val="lowerRoman"/>
      <w:lvlText w:val="%3."/>
      <w:lvlJc w:val="right"/>
      <w:pPr>
        <w:ind w:left="4770" w:hanging="180"/>
      </w:pPr>
      <w:rPr>
        <w:rFonts w:ascii="Calibri" w:eastAsiaTheme="minorHAnsi" w:hAnsi="Calibri" w:cs="Calibri"/>
      </w:rPr>
    </w:lvl>
    <w:lvl w:ilvl="3" w:tplc="FFFFFFFF">
      <w:start w:val="1"/>
      <w:numFmt w:val="decimal"/>
      <w:lvlText w:val="%4."/>
      <w:lvlJc w:val="left"/>
      <w:pPr>
        <w:ind w:left="5490" w:hanging="360"/>
      </w:pPr>
    </w:lvl>
    <w:lvl w:ilvl="4" w:tplc="FFFFFFFF">
      <w:start w:val="1"/>
      <w:numFmt w:val="lowerLetter"/>
      <w:lvlText w:val="%5."/>
      <w:lvlJc w:val="left"/>
      <w:pPr>
        <w:ind w:left="6210" w:hanging="360"/>
      </w:pPr>
    </w:lvl>
    <w:lvl w:ilvl="5" w:tplc="FFFFFFFF">
      <w:start w:val="1"/>
      <w:numFmt w:val="lowerRoman"/>
      <w:lvlText w:val="%6."/>
      <w:lvlJc w:val="right"/>
      <w:pPr>
        <w:ind w:left="6930" w:hanging="180"/>
      </w:pPr>
    </w:lvl>
    <w:lvl w:ilvl="6" w:tplc="FFFFFFFF">
      <w:start w:val="1"/>
      <w:numFmt w:val="decimal"/>
      <w:lvlText w:val="%7."/>
      <w:lvlJc w:val="left"/>
      <w:pPr>
        <w:ind w:left="7650" w:hanging="360"/>
      </w:pPr>
    </w:lvl>
    <w:lvl w:ilvl="7" w:tplc="FFFFFFFF">
      <w:start w:val="1"/>
      <w:numFmt w:val="lowerLetter"/>
      <w:lvlText w:val="%8."/>
      <w:lvlJc w:val="left"/>
      <w:pPr>
        <w:ind w:left="8370" w:hanging="360"/>
      </w:pPr>
    </w:lvl>
    <w:lvl w:ilvl="8" w:tplc="FFFFFFFF">
      <w:start w:val="1"/>
      <w:numFmt w:val="lowerRoman"/>
      <w:lvlText w:val="%9."/>
      <w:lvlJc w:val="right"/>
      <w:pPr>
        <w:ind w:left="9090" w:hanging="180"/>
      </w:pPr>
    </w:lvl>
  </w:abstractNum>
  <w:abstractNum w:abstractNumId="5" w15:restartNumberingAfterBreak="0">
    <w:nsid w:val="1A2E0A4A"/>
    <w:multiLevelType w:val="hybridMultilevel"/>
    <w:tmpl w:val="F1F4D418"/>
    <w:lvl w:ilvl="0" w:tplc="863AF0BC">
      <w:start w:val="1"/>
      <w:numFmt w:val="lowerLetter"/>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6" w15:restartNumberingAfterBreak="0">
    <w:nsid w:val="2835E1B9"/>
    <w:multiLevelType w:val="hybridMultilevel"/>
    <w:tmpl w:val="845C290E"/>
    <w:lvl w:ilvl="0" w:tplc="83748A22">
      <w:start w:val="1"/>
      <w:numFmt w:val="decimal"/>
      <w:lvlText w:val="%1."/>
      <w:lvlJc w:val="left"/>
      <w:pPr>
        <w:ind w:left="1800" w:hanging="360"/>
      </w:pPr>
    </w:lvl>
    <w:lvl w:ilvl="1" w:tplc="9FFE5166">
      <w:start w:val="1"/>
      <w:numFmt w:val="lowerLetter"/>
      <w:lvlText w:val="%2."/>
      <w:lvlJc w:val="left"/>
      <w:pPr>
        <w:ind w:left="2520" w:hanging="360"/>
      </w:pPr>
    </w:lvl>
    <w:lvl w:ilvl="2" w:tplc="3D8E0332">
      <w:start w:val="1"/>
      <w:numFmt w:val="lowerRoman"/>
      <w:lvlText w:val="%3."/>
      <w:lvlJc w:val="right"/>
      <w:pPr>
        <w:ind w:left="3240" w:hanging="180"/>
      </w:pPr>
    </w:lvl>
    <w:lvl w:ilvl="3" w:tplc="0F48A8BE">
      <w:start w:val="1"/>
      <w:numFmt w:val="decimal"/>
      <w:lvlText w:val="%4."/>
      <w:lvlJc w:val="left"/>
      <w:pPr>
        <w:ind w:left="3960" w:hanging="360"/>
      </w:pPr>
    </w:lvl>
    <w:lvl w:ilvl="4" w:tplc="0EECC80A">
      <w:start w:val="1"/>
      <w:numFmt w:val="lowerLetter"/>
      <w:lvlText w:val="%5."/>
      <w:lvlJc w:val="left"/>
      <w:pPr>
        <w:ind w:left="4680" w:hanging="360"/>
      </w:pPr>
    </w:lvl>
    <w:lvl w:ilvl="5" w:tplc="D19E3E70">
      <w:start w:val="1"/>
      <w:numFmt w:val="lowerRoman"/>
      <w:lvlText w:val="%6."/>
      <w:lvlJc w:val="right"/>
      <w:pPr>
        <w:ind w:left="5400" w:hanging="180"/>
      </w:pPr>
    </w:lvl>
    <w:lvl w:ilvl="6" w:tplc="BA944816">
      <w:start w:val="1"/>
      <w:numFmt w:val="decimal"/>
      <w:lvlText w:val="%7."/>
      <w:lvlJc w:val="left"/>
      <w:pPr>
        <w:ind w:left="6120" w:hanging="360"/>
      </w:pPr>
    </w:lvl>
    <w:lvl w:ilvl="7" w:tplc="BFFE1282">
      <w:start w:val="1"/>
      <w:numFmt w:val="lowerLetter"/>
      <w:lvlText w:val="%8."/>
      <w:lvlJc w:val="left"/>
      <w:pPr>
        <w:ind w:left="6840" w:hanging="360"/>
      </w:pPr>
    </w:lvl>
    <w:lvl w:ilvl="8" w:tplc="8A905E72">
      <w:start w:val="1"/>
      <w:numFmt w:val="lowerRoman"/>
      <w:lvlText w:val="%9."/>
      <w:lvlJc w:val="right"/>
      <w:pPr>
        <w:ind w:left="7560" w:hanging="180"/>
      </w:pPr>
    </w:lvl>
  </w:abstractNum>
  <w:abstractNum w:abstractNumId="7" w15:restartNumberingAfterBreak="0">
    <w:nsid w:val="2F56FC74"/>
    <w:multiLevelType w:val="hybridMultilevel"/>
    <w:tmpl w:val="5694E5A4"/>
    <w:lvl w:ilvl="0" w:tplc="5C8275C2">
      <w:start w:val="1"/>
      <w:numFmt w:val="decimal"/>
      <w:lvlText w:val="%1."/>
      <w:lvlJc w:val="left"/>
      <w:pPr>
        <w:ind w:left="1800" w:hanging="360"/>
      </w:pPr>
    </w:lvl>
    <w:lvl w:ilvl="1" w:tplc="1CD45CBE">
      <w:start w:val="1"/>
      <w:numFmt w:val="lowerLetter"/>
      <w:lvlText w:val="%2."/>
      <w:lvlJc w:val="left"/>
      <w:pPr>
        <w:ind w:left="2520" w:hanging="360"/>
      </w:pPr>
    </w:lvl>
    <w:lvl w:ilvl="2" w:tplc="80CCAF4C">
      <w:start w:val="1"/>
      <w:numFmt w:val="lowerRoman"/>
      <w:lvlText w:val="%3."/>
      <w:lvlJc w:val="right"/>
      <w:pPr>
        <w:ind w:left="3240" w:hanging="180"/>
      </w:pPr>
    </w:lvl>
    <w:lvl w:ilvl="3" w:tplc="7E7858C6">
      <w:start w:val="1"/>
      <w:numFmt w:val="decimal"/>
      <w:lvlText w:val="%4."/>
      <w:lvlJc w:val="left"/>
      <w:pPr>
        <w:ind w:left="3960" w:hanging="360"/>
      </w:pPr>
    </w:lvl>
    <w:lvl w:ilvl="4" w:tplc="0164A358">
      <w:start w:val="1"/>
      <w:numFmt w:val="lowerLetter"/>
      <w:lvlText w:val="%5."/>
      <w:lvlJc w:val="left"/>
      <w:pPr>
        <w:ind w:left="4680" w:hanging="360"/>
      </w:pPr>
    </w:lvl>
    <w:lvl w:ilvl="5" w:tplc="E7E4DB32">
      <w:start w:val="1"/>
      <w:numFmt w:val="lowerRoman"/>
      <w:lvlText w:val="%6."/>
      <w:lvlJc w:val="right"/>
      <w:pPr>
        <w:ind w:left="5400" w:hanging="180"/>
      </w:pPr>
    </w:lvl>
    <w:lvl w:ilvl="6" w:tplc="C5E0CB68">
      <w:start w:val="1"/>
      <w:numFmt w:val="decimal"/>
      <w:lvlText w:val="%7."/>
      <w:lvlJc w:val="left"/>
      <w:pPr>
        <w:ind w:left="6120" w:hanging="360"/>
      </w:pPr>
    </w:lvl>
    <w:lvl w:ilvl="7" w:tplc="CB2AB73C">
      <w:start w:val="1"/>
      <w:numFmt w:val="lowerLetter"/>
      <w:lvlText w:val="%8."/>
      <w:lvlJc w:val="left"/>
      <w:pPr>
        <w:ind w:left="6840" w:hanging="360"/>
      </w:pPr>
    </w:lvl>
    <w:lvl w:ilvl="8" w:tplc="27AAF9A6">
      <w:start w:val="1"/>
      <w:numFmt w:val="lowerRoman"/>
      <w:lvlText w:val="%9."/>
      <w:lvlJc w:val="right"/>
      <w:pPr>
        <w:ind w:left="7560" w:hanging="180"/>
      </w:pPr>
    </w:lvl>
  </w:abstractNum>
  <w:abstractNum w:abstractNumId="8" w15:restartNumberingAfterBreak="0">
    <w:nsid w:val="34025A73"/>
    <w:multiLevelType w:val="hybridMultilevel"/>
    <w:tmpl w:val="1FD0B278"/>
    <w:lvl w:ilvl="0" w:tplc="2888701A">
      <w:start w:val="1"/>
      <w:numFmt w:val="decimal"/>
      <w:lvlText w:val="%1."/>
      <w:lvlJc w:val="left"/>
      <w:pPr>
        <w:ind w:left="1800" w:hanging="360"/>
      </w:pPr>
    </w:lvl>
    <w:lvl w:ilvl="1" w:tplc="2C46EE60">
      <w:start w:val="1"/>
      <w:numFmt w:val="lowerLetter"/>
      <w:lvlText w:val="%2."/>
      <w:lvlJc w:val="left"/>
      <w:pPr>
        <w:ind w:left="2520" w:hanging="360"/>
      </w:pPr>
    </w:lvl>
    <w:lvl w:ilvl="2" w:tplc="5DB2CD30">
      <w:start w:val="1"/>
      <w:numFmt w:val="lowerRoman"/>
      <w:lvlText w:val="%3."/>
      <w:lvlJc w:val="right"/>
      <w:pPr>
        <w:ind w:left="3240" w:hanging="180"/>
      </w:pPr>
    </w:lvl>
    <w:lvl w:ilvl="3" w:tplc="2258D8F6">
      <w:start w:val="1"/>
      <w:numFmt w:val="decimal"/>
      <w:lvlText w:val="%4."/>
      <w:lvlJc w:val="left"/>
      <w:pPr>
        <w:ind w:left="3960" w:hanging="360"/>
      </w:pPr>
    </w:lvl>
    <w:lvl w:ilvl="4" w:tplc="07B297BE">
      <w:start w:val="1"/>
      <w:numFmt w:val="lowerLetter"/>
      <w:lvlText w:val="%5."/>
      <w:lvlJc w:val="left"/>
      <w:pPr>
        <w:ind w:left="4680" w:hanging="360"/>
      </w:pPr>
    </w:lvl>
    <w:lvl w:ilvl="5" w:tplc="D638D558">
      <w:start w:val="1"/>
      <w:numFmt w:val="lowerRoman"/>
      <w:lvlText w:val="%6."/>
      <w:lvlJc w:val="right"/>
      <w:pPr>
        <w:ind w:left="5400" w:hanging="180"/>
      </w:pPr>
    </w:lvl>
    <w:lvl w:ilvl="6" w:tplc="4C14EED0">
      <w:start w:val="1"/>
      <w:numFmt w:val="decimal"/>
      <w:lvlText w:val="%7."/>
      <w:lvlJc w:val="left"/>
      <w:pPr>
        <w:ind w:left="6120" w:hanging="360"/>
      </w:pPr>
    </w:lvl>
    <w:lvl w:ilvl="7" w:tplc="54B891DA">
      <w:start w:val="1"/>
      <w:numFmt w:val="lowerLetter"/>
      <w:lvlText w:val="%8."/>
      <w:lvlJc w:val="left"/>
      <w:pPr>
        <w:ind w:left="6840" w:hanging="360"/>
      </w:pPr>
    </w:lvl>
    <w:lvl w:ilvl="8" w:tplc="05AAB2A2">
      <w:start w:val="1"/>
      <w:numFmt w:val="lowerRoman"/>
      <w:lvlText w:val="%9."/>
      <w:lvlJc w:val="right"/>
      <w:pPr>
        <w:ind w:left="7560" w:hanging="180"/>
      </w:pPr>
    </w:lvl>
  </w:abstractNum>
  <w:abstractNum w:abstractNumId="9" w15:restartNumberingAfterBreak="0">
    <w:nsid w:val="37AC98D8"/>
    <w:multiLevelType w:val="hybridMultilevel"/>
    <w:tmpl w:val="246496D6"/>
    <w:lvl w:ilvl="0" w:tplc="0114BF5C">
      <w:start w:val="1"/>
      <w:numFmt w:val="lowerLetter"/>
      <w:lvlText w:val="%1."/>
      <w:lvlJc w:val="left"/>
      <w:pPr>
        <w:ind w:left="2160" w:hanging="360"/>
      </w:pPr>
    </w:lvl>
    <w:lvl w:ilvl="1" w:tplc="ADA4E8F2">
      <w:start w:val="1"/>
      <w:numFmt w:val="lowerLetter"/>
      <w:lvlText w:val="%2."/>
      <w:lvlJc w:val="left"/>
      <w:pPr>
        <w:ind w:left="2880" w:hanging="360"/>
      </w:pPr>
    </w:lvl>
    <w:lvl w:ilvl="2" w:tplc="2272C950">
      <w:start w:val="1"/>
      <w:numFmt w:val="lowerRoman"/>
      <w:lvlText w:val="%3."/>
      <w:lvlJc w:val="right"/>
      <w:pPr>
        <w:ind w:left="3600" w:hanging="180"/>
      </w:pPr>
    </w:lvl>
    <w:lvl w:ilvl="3" w:tplc="B2B8ED54">
      <w:start w:val="1"/>
      <w:numFmt w:val="decimal"/>
      <w:lvlText w:val="%4."/>
      <w:lvlJc w:val="left"/>
      <w:pPr>
        <w:ind w:left="4320" w:hanging="360"/>
      </w:pPr>
    </w:lvl>
    <w:lvl w:ilvl="4" w:tplc="35E05C26">
      <w:start w:val="1"/>
      <w:numFmt w:val="lowerLetter"/>
      <w:lvlText w:val="%5."/>
      <w:lvlJc w:val="left"/>
      <w:pPr>
        <w:ind w:left="5040" w:hanging="360"/>
      </w:pPr>
    </w:lvl>
    <w:lvl w:ilvl="5" w:tplc="B0706B2C">
      <w:start w:val="1"/>
      <w:numFmt w:val="lowerRoman"/>
      <w:lvlText w:val="%6."/>
      <w:lvlJc w:val="right"/>
      <w:pPr>
        <w:ind w:left="5760" w:hanging="180"/>
      </w:pPr>
    </w:lvl>
    <w:lvl w:ilvl="6" w:tplc="0D14F87C">
      <w:start w:val="1"/>
      <w:numFmt w:val="decimal"/>
      <w:lvlText w:val="%7."/>
      <w:lvlJc w:val="left"/>
      <w:pPr>
        <w:ind w:left="6480" w:hanging="360"/>
      </w:pPr>
    </w:lvl>
    <w:lvl w:ilvl="7" w:tplc="792E6230">
      <w:start w:val="1"/>
      <w:numFmt w:val="lowerLetter"/>
      <w:lvlText w:val="%8."/>
      <w:lvlJc w:val="left"/>
      <w:pPr>
        <w:ind w:left="7200" w:hanging="360"/>
      </w:pPr>
    </w:lvl>
    <w:lvl w:ilvl="8" w:tplc="6ABC25BE">
      <w:start w:val="1"/>
      <w:numFmt w:val="lowerRoman"/>
      <w:lvlText w:val="%9."/>
      <w:lvlJc w:val="right"/>
      <w:pPr>
        <w:ind w:left="7920" w:hanging="180"/>
      </w:pPr>
    </w:lvl>
  </w:abstractNum>
  <w:abstractNum w:abstractNumId="10" w15:restartNumberingAfterBreak="0">
    <w:nsid w:val="3F8B0C22"/>
    <w:multiLevelType w:val="hybridMultilevel"/>
    <w:tmpl w:val="A8348294"/>
    <w:lvl w:ilvl="0" w:tplc="F6C8E96A">
      <w:start w:val="1"/>
      <w:numFmt w:val="decimal"/>
      <w:lvlText w:val="%1."/>
      <w:lvlJc w:val="left"/>
      <w:pPr>
        <w:ind w:left="3330" w:hanging="360"/>
      </w:pPr>
    </w:lvl>
    <w:lvl w:ilvl="1" w:tplc="10328A1A">
      <w:start w:val="1"/>
      <w:numFmt w:val="lowerLetter"/>
      <w:lvlText w:val="%2."/>
      <w:lvlJc w:val="left"/>
      <w:pPr>
        <w:ind w:left="4050" w:hanging="360"/>
      </w:pPr>
    </w:lvl>
    <w:lvl w:ilvl="2" w:tplc="02A4918C">
      <w:start w:val="1"/>
      <w:numFmt w:val="lowerRoman"/>
      <w:lvlText w:val="%3."/>
      <w:lvlJc w:val="right"/>
      <w:pPr>
        <w:ind w:left="4770" w:hanging="180"/>
      </w:pPr>
      <w:rPr>
        <w:rFonts w:ascii="Calibri" w:eastAsiaTheme="minorHAnsi" w:hAnsi="Calibri" w:cs="Calibri"/>
      </w:rPr>
    </w:lvl>
    <w:lvl w:ilvl="3" w:tplc="47200F1C">
      <w:start w:val="1"/>
      <w:numFmt w:val="decimal"/>
      <w:lvlText w:val="%4."/>
      <w:lvlJc w:val="left"/>
      <w:pPr>
        <w:ind w:left="5490" w:hanging="360"/>
      </w:pPr>
    </w:lvl>
    <w:lvl w:ilvl="4" w:tplc="F4449276">
      <w:start w:val="1"/>
      <w:numFmt w:val="lowerLetter"/>
      <w:lvlText w:val="%5."/>
      <w:lvlJc w:val="left"/>
      <w:pPr>
        <w:ind w:left="6210" w:hanging="360"/>
      </w:pPr>
    </w:lvl>
    <w:lvl w:ilvl="5" w:tplc="4D1C8C70">
      <w:start w:val="1"/>
      <w:numFmt w:val="lowerRoman"/>
      <w:lvlText w:val="%6."/>
      <w:lvlJc w:val="right"/>
      <w:pPr>
        <w:ind w:left="6930" w:hanging="180"/>
      </w:pPr>
    </w:lvl>
    <w:lvl w:ilvl="6" w:tplc="32E03526">
      <w:start w:val="1"/>
      <w:numFmt w:val="decimal"/>
      <w:lvlText w:val="%7."/>
      <w:lvlJc w:val="left"/>
      <w:pPr>
        <w:ind w:left="7650" w:hanging="360"/>
      </w:pPr>
    </w:lvl>
    <w:lvl w:ilvl="7" w:tplc="751A0BF6">
      <w:start w:val="1"/>
      <w:numFmt w:val="lowerLetter"/>
      <w:lvlText w:val="%8."/>
      <w:lvlJc w:val="left"/>
      <w:pPr>
        <w:ind w:left="8370" w:hanging="360"/>
      </w:pPr>
    </w:lvl>
    <w:lvl w:ilvl="8" w:tplc="4A063D1A">
      <w:start w:val="1"/>
      <w:numFmt w:val="lowerRoman"/>
      <w:lvlText w:val="%9."/>
      <w:lvlJc w:val="right"/>
      <w:pPr>
        <w:ind w:left="9090" w:hanging="180"/>
      </w:pPr>
    </w:lvl>
  </w:abstractNum>
  <w:abstractNum w:abstractNumId="11" w15:restartNumberingAfterBreak="0">
    <w:nsid w:val="40FE58D6"/>
    <w:multiLevelType w:val="hybridMultilevel"/>
    <w:tmpl w:val="13086E5C"/>
    <w:lvl w:ilvl="0" w:tplc="1C04357C">
      <w:start w:val="1"/>
      <w:numFmt w:val="lowerRoman"/>
      <w:lvlText w:val="%1."/>
      <w:lvlJc w:val="left"/>
      <w:pPr>
        <w:ind w:left="1440" w:hanging="360"/>
      </w:pPr>
    </w:lvl>
    <w:lvl w:ilvl="1" w:tplc="2F1CBA42">
      <w:start w:val="1"/>
      <w:numFmt w:val="lowerLetter"/>
      <w:lvlText w:val="%2."/>
      <w:lvlJc w:val="left"/>
      <w:pPr>
        <w:ind w:left="2160" w:hanging="360"/>
      </w:pPr>
    </w:lvl>
    <w:lvl w:ilvl="2" w:tplc="0B5AD7CC">
      <w:start w:val="1"/>
      <w:numFmt w:val="lowerRoman"/>
      <w:lvlText w:val="%3."/>
      <w:lvlJc w:val="right"/>
      <w:pPr>
        <w:ind w:left="2880" w:hanging="180"/>
      </w:pPr>
    </w:lvl>
    <w:lvl w:ilvl="3" w:tplc="25F6B408">
      <w:start w:val="1"/>
      <w:numFmt w:val="decimal"/>
      <w:lvlText w:val="%4."/>
      <w:lvlJc w:val="left"/>
      <w:pPr>
        <w:ind w:left="3600" w:hanging="360"/>
      </w:pPr>
    </w:lvl>
    <w:lvl w:ilvl="4" w:tplc="1ACA141E">
      <w:start w:val="1"/>
      <w:numFmt w:val="lowerLetter"/>
      <w:lvlText w:val="%5."/>
      <w:lvlJc w:val="left"/>
      <w:pPr>
        <w:ind w:left="4320" w:hanging="360"/>
      </w:pPr>
    </w:lvl>
    <w:lvl w:ilvl="5" w:tplc="3AEE0C1A">
      <w:start w:val="1"/>
      <w:numFmt w:val="lowerRoman"/>
      <w:lvlText w:val="%6."/>
      <w:lvlJc w:val="right"/>
      <w:pPr>
        <w:ind w:left="5040" w:hanging="180"/>
      </w:pPr>
    </w:lvl>
    <w:lvl w:ilvl="6" w:tplc="89DE867A">
      <w:start w:val="1"/>
      <w:numFmt w:val="decimal"/>
      <w:lvlText w:val="%7."/>
      <w:lvlJc w:val="left"/>
      <w:pPr>
        <w:ind w:left="5760" w:hanging="360"/>
      </w:pPr>
    </w:lvl>
    <w:lvl w:ilvl="7" w:tplc="878A328C">
      <w:start w:val="1"/>
      <w:numFmt w:val="lowerLetter"/>
      <w:lvlText w:val="%8."/>
      <w:lvlJc w:val="left"/>
      <w:pPr>
        <w:ind w:left="6480" w:hanging="360"/>
      </w:pPr>
    </w:lvl>
    <w:lvl w:ilvl="8" w:tplc="B644C88E">
      <w:start w:val="1"/>
      <w:numFmt w:val="lowerRoman"/>
      <w:lvlText w:val="%9."/>
      <w:lvlJc w:val="right"/>
      <w:pPr>
        <w:ind w:left="7200" w:hanging="180"/>
      </w:pPr>
    </w:lvl>
  </w:abstractNum>
  <w:abstractNum w:abstractNumId="12" w15:restartNumberingAfterBreak="0">
    <w:nsid w:val="432B7D50"/>
    <w:multiLevelType w:val="multilevel"/>
    <w:tmpl w:val="D54445DE"/>
    <w:lvl w:ilvl="0">
      <w:start w:val="1"/>
      <w:numFmt w:val="decimal"/>
      <w:lvlText w:val="%1."/>
      <w:lvlJc w:val="left"/>
      <w:pPr>
        <w:ind w:left="7830" w:hanging="360"/>
      </w:pPr>
      <w:rPr>
        <w:rFonts w:asciiTheme="majorHAnsi" w:hAnsiTheme="majorHAnsi" w:cstheme="majorHAnsi" w:hint="default"/>
        <w:b/>
        <w:bCs w:val="0"/>
        <w:i w:val="0"/>
        <w:color w:val="156082" w:themeColor="accent1"/>
        <w:sz w:val="40"/>
        <w:szCs w:val="40"/>
      </w:rPr>
    </w:lvl>
    <w:lvl w:ilvl="1">
      <w:start w:val="1"/>
      <w:numFmt w:val="lowerRoman"/>
      <w:lvlText w:val="%2."/>
      <w:lvlJc w:val="left"/>
      <w:pPr>
        <w:ind w:left="1080" w:hanging="360"/>
      </w:pPr>
      <w:rPr>
        <w:rFonts w:hint="default"/>
        <w:b w:val="0"/>
        <w:bCs w:val="0"/>
        <w:i w:val="0"/>
        <w:iCs w:val="0"/>
        <w:color w:val="auto"/>
        <w:sz w:val="24"/>
      </w:rPr>
    </w:lvl>
    <w:lvl w:ilvl="2">
      <w:start w:val="1"/>
      <w:numFmt w:val="upperLetter"/>
      <w:lvlText w:val="%3."/>
      <w:lvlJc w:val="left"/>
      <w:pPr>
        <w:ind w:left="1440" w:hanging="360"/>
      </w:pPr>
      <w:rPr>
        <w:rFonts w:hint="default"/>
        <w:b w:val="0"/>
        <w:bCs w:val="0"/>
        <w:i w:val="0"/>
        <w:iCs w:val="0"/>
        <w:color w:val="auto"/>
      </w:rPr>
    </w:lvl>
    <w:lvl w:ilvl="3">
      <w:start w:val="1"/>
      <w:numFmt w:val="decimal"/>
      <w:lvlText w:val="%4."/>
      <w:lvlJc w:val="left"/>
      <w:pPr>
        <w:ind w:left="1800" w:hanging="360"/>
      </w:pPr>
      <w:rPr>
        <w:rFonts w:ascii="Calibri" w:eastAsiaTheme="minorHAnsi" w:hAnsi="Calibri" w:cs="Calibri" w:hint="default"/>
        <w:b w:val="0"/>
        <w:bCs w:val="0"/>
        <w:i w:val="0"/>
        <w:iCs w:val="0"/>
        <w:color w:val="auto"/>
      </w:rPr>
    </w:lvl>
    <w:lvl w:ilvl="4">
      <w:start w:val="1"/>
      <w:numFmt w:val="lowerLetter"/>
      <w:lvlText w:val="%5."/>
      <w:lvlJc w:val="left"/>
      <w:pPr>
        <w:ind w:left="2160" w:hanging="360"/>
      </w:pPr>
      <w:rPr>
        <w:rFonts w:ascii="Calibri" w:eastAsiaTheme="minorHAnsi" w:hAnsi="Calibri" w:cs="Calibri"/>
        <w:b w:val="0"/>
        <w:bCs w:val="0"/>
        <w:i w:val="0"/>
        <w:iCs w:val="0"/>
        <w:color w:val="auto"/>
      </w:rPr>
    </w:lvl>
    <w:lvl w:ilvl="5">
      <w:start w:val="1"/>
      <w:numFmt w:val="lowerRoman"/>
      <w:lvlText w:val="%6."/>
      <w:lvlJc w:val="left"/>
      <w:pPr>
        <w:ind w:left="2520" w:hanging="360"/>
      </w:pPr>
      <w:rPr>
        <w:rFonts w:ascii="Calibri" w:eastAsiaTheme="minorHAnsi" w:hAnsi="Calibri" w:cs="Calibri"/>
        <w:b w:val="0"/>
        <w:bCs w:val="0"/>
        <w:i w:val="0"/>
        <w:iCs w:val="0"/>
        <w:color w:val="auto"/>
      </w:rPr>
    </w:lvl>
    <w:lvl w:ilvl="6">
      <w:start w:val="1"/>
      <w:numFmt w:val="lowerLetter"/>
      <w:lvlText w:val="%7."/>
      <w:lvlJc w:val="left"/>
      <w:pPr>
        <w:ind w:left="2970" w:hanging="360"/>
      </w:pPr>
      <w:rPr>
        <w:rFonts w:hint="default"/>
        <w:b w:val="0"/>
        <w:bCs w:val="0"/>
        <w:color w:val="auto"/>
      </w:rPr>
    </w:lvl>
    <w:lvl w:ilvl="7">
      <w:start w:val="1"/>
      <w:numFmt w:val="lowerLetter"/>
      <w:lvlText w:val="%8."/>
      <w:lvlJc w:val="left"/>
      <w:pPr>
        <w:ind w:left="2970" w:hanging="360"/>
      </w:pPr>
      <w:rPr>
        <w:rFonts w:hint="default"/>
      </w:rPr>
    </w:lvl>
    <w:lvl w:ilvl="8">
      <w:start w:val="1"/>
      <w:numFmt w:val="lowerRoman"/>
      <w:lvlText w:val="%9."/>
      <w:lvlJc w:val="right"/>
      <w:pPr>
        <w:ind w:left="3600" w:hanging="360"/>
      </w:pPr>
      <w:rPr>
        <w:rFonts w:hint="default"/>
      </w:rPr>
    </w:lvl>
  </w:abstractNum>
  <w:abstractNum w:abstractNumId="13" w15:restartNumberingAfterBreak="0">
    <w:nsid w:val="465F61A5"/>
    <w:multiLevelType w:val="hybridMultilevel"/>
    <w:tmpl w:val="63C4F204"/>
    <w:lvl w:ilvl="0" w:tplc="B7A26AAA">
      <w:start w:val="1"/>
      <w:numFmt w:val="lowerLetter"/>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4" w15:restartNumberingAfterBreak="0">
    <w:nsid w:val="53F8F61E"/>
    <w:multiLevelType w:val="hybridMultilevel"/>
    <w:tmpl w:val="32F2D37C"/>
    <w:lvl w:ilvl="0" w:tplc="CAC0D85E">
      <w:start w:val="1"/>
      <w:numFmt w:val="lowerLetter"/>
      <w:lvlText w:val="%1."/>
      <w:lvlJc w:val="left"/>
      <w:pPr>
        <w:ind w:left="1080" w:hanging="360"/>
      </w:pPr>
    </w:lvl>
    <w:lvl w:ilvl="1" w:tplc="3E8604D8">
      <w:start w:val="1"/>
      <w:numFmt w:val="lowerLetter"/>
      <w:lvlText w:val="%2."/>
      <w:lvlJc w:val="left"/>
      <w:pPr>
        <w:ind w:left="1800" w:hanging="360"/>
      </w:pPr>
    </w:lvl>
    <w:lvl w:ilvl="2" w:tplc="4CCA4154">
      <w:start w:val="1"/>
      <w:numFmt w:val="lowerRoman"/>
      <w:lvlText w:val="%3."/>
      <w:lvlJc w:val="right"/>
      <w:pPr>
        <w:ind w:left="2520" w:hanging="180"/>
      </w:pPr>
    </w:lvl>
    <w:lvl w:ilvl="3" w:tplc="88B87004">
      <w:start w:val="1"/>
      <w:numFmt w:val="decimal"/>
      <w:lvlText w:val="%4."/>
      <w:lvlJc w:val="left"/>
      <w:pPr>
        <w:ind w:left="3240" w:hanging="360"/>
      </w:pPr>
    </w:lvl>
    <w:lvl w:ilvl="4" w:tplc="A66CF8A0">
      <w:start w:val="1"/>
      <w:numFmt w:val="lowerLetter"/>
      <w:lvlText w:val="%5."/>
      <w:lvlJc w:val="left"/>
      <w:pPr>
        <w:ind w:left="3960" w:hanging="360"/>
      </w:pPr>
    </w:lvl>
    <w:lvl w:ilvl="5" w:tplc="B99052B6">
      <w:start w:val="1"/>
      <w:numFmt w:val="lowerRoman"/>
      <w:lvlText w:val="%6."/>
      <w:lvlJc w:val="right"/>
      <w:pPr>
        <w:ind w:left="4680" w:hanging="180"/>
      </w:pPr>
    </w:lvl>
    <w:lvl w:ilvl="6" w:tplc="7DDAADF8">
      <w:start w:val="1"/>
      <w:numFmt w:val="decimal"/>
      <w:lvlText w:val="%7."/>
      <w:lvlJc w:val="left"/>
      <w:pPr>
        <w:ind w:left="5400" w:hanging="360"/>
      </w:pPr>
    </w:lvl>
    <w:lvl w:ilvl="7" w:tplc="6D98B7C0">
      <w:start w:val="1"/>
      <w:numFmt w:val="lowerLetter"/>
      <w:lvlText w:val="%8."/>
      <w:lvlJc w:val="left"/>
      <w:pPr>
        <w:ind w:left="6120" w:hanging="360"/>
      </w:pPr>
    </w:lvl>
    <w:lvl w:ilvl="8" w:tplc="E8C8EB0C">
      <w:start w:val="1"/>
      <w:numFmt w:val="lowerRoman"/>
      <w:lvlText w:val="%9."/>
      <w:lvlJc w:val="right"/>
      <w:pPr>
        <w:ind w:left="6840" w:hanging="180"/>
      </w:pPr>
    </w:lvl>
  </w:abstractNum>
  <w:abstractNum w:abstractNumId="15" w15:restartNumberingAfterBreak="0">
    <w:nsid w:val="5C903CA3"/>
    <w:multiLevelType w:val="hybridMultilevel"/>
    <w:tmpl w:val="0A585580"/>
    <w:lvl w:ilvl="0" w:tplc="0409001B">
      <w:start w:val="1"/>
      <w:numFmt w:val="lowerRoman"/>
      <w:lvlText w:val="%1."/>
      <w:lvlJc w:val="righ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6" w15:restartNumberingAfterBreak="0">
    <w:nsid w:val="5CB25A69"/>
    <w:multiLevelType w:val="hybridMultilevel"/>
    <w:tmpl w:val="72F0F5BE"/>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7" w15:restartNumberingAfterBreak="0">
    <w:nsid w:val="5F852E6E"/>
    <w:multiLevelType w:val="multilevel"/>
    <w:tmpl w:val="00949BA4"/>
    <w:lvl w:ilvl="0">
      <w:start w:val="1"/>
      <w:numFmt w:val="decimal"/>
      <w:pStyle w:val="Heading1"/>
      <w:lvlText w:val="%1."/>
      <w:lvlJc w:val="left"/>
      <w:pPr>
        <w:ind w:left="7830" w:hanging="360"/>
      </w:pPr>
      <w:rPr>
        <w:rFonts w:asciiTheme="majorHAnsi" w:hAnsiTheme="majorHAnsi" w:cstheme="majorHAnsi" w:hint="default"/>
        <w:b/>
        <w:bCs w:val="0"/>
        <w:i w:val="0"/>
        <w:color w:val="156082" w:themeColor="accent1"/>
        <w:sz w:val="40"/>
        <w:szCs w:val="40"/>
      </w:rPr>
    </w:lvl>
    <w:lvl w:ilvl="1">
      <w:start w:val="1"/>
      <w:numFmt w:val="lowerRoman"/>
      <w:pStyle w:val="Heading2"/>
      <w:lvlText w:val="%2."/>
      <w:lvlJc w:val="left"/>
      <w:pPr>
        <w:ind w:left="1080" w:hanging="360"/>
      </w:pPr>
      <w:rPr>
        <w:rFonts w:hint="default"/>
        <w:b w:val="0"/>
        <w:bCs w:val="0"/>
        <w:i w:val="0"/>
        <w:iCs w:val="0"/>
        <w:color w:val="auto"/>
        <w:sz w:val="24"/>
      </w:rPr>
    </w:lvl>
    <w:lvl w:ilvl="2">
      <w:start w:val="1"/>
      <w:numFmt w:val="upperLetter"/>
      <w:lvlText w:val="%3."/>
      <w:lvlJc w:val="left"/>
      <w:pPr>
        <w:ind w:left="1440" w:hanging="360"/>
      </w:pPr>
      <w:rPr>
        <w:rFonts w:hint="default"/>
        <w:b w:val="0"/>
        <w:bCs w:val="0"/>
        <w:i w:val="0"/>
        <w:iCs w:val="0"/>
        <w:color w:val="auto"/>
      </w:rPr>
    </w:lvl>
    <w:lvl w:ilvl="3">
      <w:start w:val="1"/>
      <w:numFmt w:val="decimal"/>
      <w:lvlText w:val="%4."/>
      <w:lvlJc w:val="left"/>
      <w:pPr>
        <w:ind w:left="1800" w:hanging="360"/>
      </w:pPr>
      <w:rPr>
        <w:rFonts w:ascii="Calibri" w:eastAsiaTheme="minorHAnsi" w:hAnsi="Calibri" w:cs="Calibri" w:hint="default"/>
        <w:b w:val="0"/>
        <w:bCs w:val="0"/>
        <w:i w:val="0"/>
        <w:iCs w:val="0"/>
        <w:color w:val="auto"/>
      </w:rPr>
    </w:lvl>
    <w:lvl w:ilvl="4">
      <w:start w:val="1"/>
      <w:numFmt w:val="lowerLetter"/>
      <w:lvlText w:val="%5."/>
      <w:lvlJc w:val="left"/>
      <w:pPr>
        <w:ind w:left="2160" w:hanging="360"/>
      </w:pPr>
      <w:rPr>
        <w:b w:val="0"/>
        <w:bCs w:val="0"/>
        <w:i w:val="0"/>
        <w:iCs w:val="0"/>
        <w:color w:val="auto"/>
      </w:rPr>
    </w:lvl>
    <w:lvl w:ilvl="5">
      <w:start w:val="1"/>
      <w:numFmt w:val="lowerRoman"/>
      <w:lvlText w:val="%6."/>
      <w:lvlJc w:val="left"/>
      <w:pPr>
        <w:ind w:left="2520" w:hanging="360"/>
      </w:pPr>
      <w:rPr>
        <w:rFonts w:ascii="Calibri" w:eastAsiaTheme="minorHAnsi" w:hAnsi="Calibri" w:cs="Calibri"/>
        <w:b w:val="0"/>
        <w:bCs w:val="0"/>
        <w:i w:val="0"/>
        <w:iCs w:val="0"/>
        <w:color w:val="auto"/>
      </w:rPr>
    </w:lvl>
    <w:lvl w:ilvl="6">
      <w:start w:val="1"/>
      <w:numFmt w:val="lowerLetter"/>
      <w:lvlText w:val="%7."/>
      <w:lvlJc w:val="left"/>
      <w:pPr>
        <w:ind w:left="2970" w:hanging="360"/>
      </w:pPr>
      <w:rPr>
        <w:rFonts w:hint="default"/>
        <w:b w:val="0"/>
        <w:bCs w:val="0"/>
        <w:color w:val="auto"/>
      </w:rPr>
    </w:lvl>
    <w:lvl w:ilvl="7">
      <w:start w:val="1"/>
      <w:numFmt w:val="lowerLetter"/>
      <w:lvlText w:val="%8."/>
      <w:lvlJc w:val="left"/>
      <w:pPr>
        <w:ind w:left="2970" w:hanging="360"/>
      </w:pPr>
      <w:rPr>
        <w:rFonts w:hint="default"/>
      </w:rPr>
    </w:lvl>
    <w:lvl w:ilvl="8">
      <w:start w:val="1"/>
      <w:numFmt w:val="lowerRoman"/>
      <w:lvlText w:val="%9."/>
      <w:lvlJc w:val="right"/>
      <w:pPr>
        <w:ind w:left="3600" w:hanging="360"/>
      </w:pPr>
      <w:rPr>
        <w:rFonts w:hint="default"/>
      </w:rPr>
    </w:lvl>
  </w:abstractNum>
  <w:abstractNum w:abstractNumId="18" w15:restartNumberingAfterBreak="0">
    <w:nsid w:val="664E9A71"/>
    <w:multiLevelType w:val="hybridMultilevel"/>
    <w:tmpl w:val="37ECAD0A"/>
    <w:lvl w:ilvl="0" w:tplc="033C4E4A">
      <w:start w:val="1"/>
      <w:numFmt w:val="lowerLetter"/>
      <w:lvlText w:val="%1."/>
      <w:lvlJc w:val="left"/>
      <w:pPr>
        <w:ind w:left="2160" w:hanging="360"/>
      </w:pPr>
    </w:lvl>
    <w:lvl w:ilvl="1" w:tplc="E5ACA302">
      <w:start w:val="1"/>
      <w:numFmt w:val="lowerLetter"/>
      <w:lvlText w:val="%2."/>
      <w:lvlJc w:val="left"/>
      <w:pPr>
        <w:ind w:left="2880" w:hanging="360"/>
      </w:pPr>
    </w:lvl>
    <w:lvl w:ilvl="2" w:tplc="0A04A45C">
      <w:start w:val="1"/>
      <w:numFmt w:val="lowerRoman"/>
      <w:lvlText w:val="%3."/>
      <w:lvlJc w:val="right"/>
      <w:pPr>
        <w:ind w:left="3600" w:hanging="180"/>
      </w:pPr>
    </w:lvl>
    <w:lvl w:ilvl="3" w:tplc="E83603D2">
      <w:start w:val="1"/>
      <w:numFmt w:val="decimal"/>
      <w:lvlText w:val="%4."/>
      <w:lvlJc w:val="left"/>
      <w:pPr>
        <w:ind w:left="4320" w:hanging="360"/>
      </w:pPr>
    </w:lvl>
    <w:lvl w:ilvl="4" w:tplc="DFFEA482">
      <w:start w:val="1"/>
      <w:numFmt w:val="lowerLetter"/>
      <w:lvlText w:val="%5."/>
      <w:lvlJc w:val="left"/>
      <w:pPr>
        <w:ind w:left="5040" w:hanging="360"/>
      </w:pPr>
    </w:lvl>
    <w:lvl w:ilvl="5" w:tplc="95C66574">
      <w:start w:val="1"/>
      <w:numFmt w:val="lowerRoman"/>
      <w:lvlText w:val="%6."/>
      <w:lvlJc w:val="right"/>
      <w:pPr>
        <w:ind w:left="5760" w:hanging="180"/>
      </w:pPr>
    </w:lvl>
    <w:lvl w:ilvl="6" w:tplc="755A7958">
      <w:start w:val="1"/>
      <w:numFmt w:val="decimal"/>
      <w:lvlText w:val="%7."/>
      <w:lvlJc w:val="left"/>
      <w:pPr>
        <w:ind w:left="6480" w:hanging="360"/>
      </w:pPr>
    </w:lvl>
    <w:lvl w:ilvl="7" w:tplc="877883F0">
      <w:start w:val="1"/>
      <w:numFmt w:val="lowerLetter"/>
      <w:lvlText w:val="%8."/>
      <w:lvlJc w:val="left"/>
      <w:pPr>
        <w:ind w:left="7200" w:hanging="360"/>
      </w:pPr>
    </w:lvl>
    <w:lvl w:ilvl="8" w:tplc="31E6AE1E">
      <w:start w:val="1"/>
      <w:numFmt w:val="lowerRoman"/>
      <w:lvlText w:val="%9."/>
      <w:lvlJc w:val="right"/>
      <w:pPr>
        <w:ind w:left="7920" w:hanging="180"/>
      </w:pPr>
    </w:lvl>
  </w:abstractNum>
  <w:abstractNum w:abstractNumId="19" w15:restartNumberingAfterBreak="0">
    <w:nsid w:val="67C76277"/>
    <w:multiLevelType w:val="hybridMultilevel"/>
    <w:tmpl w:val="37E6E068"/>
    <w:lvl w:ilvl="0" w:tplc="995843C8">
      <w:start w:val="1"/>
      <w:numFmt w:val="decimal"/>
      <w:lvlText w:val="%1."/>
      <w:lvlJc w:val="left"/>
      <w:pPr>
        <w:ind w:left="1800" w:hanging="360"/>
      </w:pPr>
    </w:lvl>
    <w:lvl w:ilvl="1" w:tplc="E0747D46">
      <w:start w:val="1"/>
      <w:numFmt w:val="lowerLetter"/>
      <w:lvlText w:val="%2."/>
      <w:lvlJc w:val="left"/>
      <w:pPr>
        <w:ind w:left="2520" w:hanging="360"/>
      </w:pPr>
    </w:lvl>
    <w:lvl w:ilvl="2" w:tplc="75F24FAA">
      <w:start w:val="1"/>
      <w:numFmt w:val="lowerRoman"/>
      <w:lvlText w:val="%3."/>
      <w:lvlJc w:val="right"/>
      <w:pPr>
        <w:ind w:left="3240" w:hanging="180"/>
      </w:pPr>
    </w:lvl>
    <w:lvl w:ilvl="3" w:tplc="AB24F012">
      <w:start w:val="1"/>
      <w:numFmt w:val="decimal"/>
      <w:lvlText w:val="%4."/>
      <w:lvlJc w:val="left"/>
      <w:pPr>
        <w:ind w:left="3960" w:hanging="360"/>
      </w:pPr>
    </w:lvl>
    <w:lvl w:ilvl="4" w:tplc="8B163A72">
      <w:start w:val="1"/>
      <w:numFmt w:val="lowerLetter"/>
      <w:lvlText w:val="%5."/>
      <w:lvlJc w:val="left"/>
      <w:pPr>
        <w:ind w:left="4680" w:hanging="360"/>
      </w:pPr>
    </w:lvl>
    <w:lvl w:ilvl="5" w:tplc="A7BE8CDE">
      <w:start w:val="1"/>
      <w:numFmt w:val="lowerRoman"/>
      <w:lvlText w:val="%6."/>
      <w:lvlJc w:val="right"/>
      <w:pPr>
        <w:ind w:left="5400" w:hanging="180"/>
      </w:pPr>
    </w:lvl>
    <w:lvl w:ilvl="6" w:tplc="89C0173A">
      <w:start w:val="1"/>
      <w:numFmt w:val="decimal"/>
      <w:lvlText w:val="%7."/>
      <w:lvlJc w:val="left"/>
      <w:pPr>
        <w:ind w:left="6120" w:hanging="360"/>
      </w:pPr>
    </w:lvl>
    <w:lvl w:ilvl="7" w:tplc="8EAE2EE8">
      <w:start w:val="1"/>
      <w:numFmt w:val="lowerLetter"/>
      <w:lvlText w:val="%8."/>
      <w:lvlJc w:val="left"/>
      <w:pPr>
        <w:ind w:left="6840" w:hanging="360"/>
      </w:pPr>
    </w:lvl>
    <w:lvl w:ilvl="8" w:tplc="D8AAAF5C">
      <w:start w:val="1"/>
      <w:numFmt w:val="lowerRoman"/>
      <w:lvlText w:val="%9."/>
      <w:lvlJc w:val="right"/>
      <w:pPr>
        <w:ind w:left="7560" w:hanging="180"/>
      </w:pPr>
    </w:lvl>
  </w:abstractNum>
  <w:abstractNum w:abstractNumId="20" w15:restartNumberingAfterBreak="0">
    <w:nsid w:val="696C6D3A"/>
    <w:multiLevelType w:val="hybridMultilevel"/>
    <w:tmpl w:val="34CCE382"/>
    <w:lvl w:ilvl="0" w:tplc="8F345056">
      <w:start w:val="1"/>
      <w:numFmt w:val="upperLetter"/>
      <w:lvlText w:val="%1."/>
      <w:lvlJc w:val="left"/>
      <w:pPr>
        <w:ind w:left="1440" w:hanging="360"/>
      </w:pPr>
    </w:lvl>
    <w:lvl w:ilvl="1" w:tplc="633EC7D8">
      <w:start w:val="1"/>
      <w:numFmt w:val="lowerLetter"/>
      <w:lvlText w:val="%2."/>
      <w:lvlJc w:val="left"/>
      <w:pPr>
        <w:ind w:left="2160" w:hanging="360"/>
      </w:pPr>
    </w:lvl>
    <w:lvl w:ilvl="2" w:tplc="32928BFE">
      <w:start w:val="1"/>
      <w:numFmt w:val="lowerRoman"/>
      <w:lvlText w:val="%3."/>
      <w:lvlJc w:val="right"/>
      <w:pPr>
        <w:ind w:left="2880" w:hanging="180"/>
      </w:pPr>
    </w:lvl>
    <w:lvl w:ilvl="3" w:tplc="2B62D5C8">
      <w:start w:val="1"/>
      <w:numFmt w:val="decimal"/>
      <w:lvlText w:val="%4."/>
      <w:lvlJc w:val="left"/>
      <w:pPr>
        <w:ind w:left="3600" w:hanging="360"/>
      </w:pPr>
    </w:lvl>
    <w:lvl w:ilvl="4" w:tplc="09F8DD84">
      <w:start w:val="1"/>
      <w:numFmt w:val="lowerLetter"/>
      <w:lvlText w:val="%5."/>
      <w:lvlJc w:val="left"/>
      <w:pPr>
        <w:ind w:left="4320" w:hanging="360"/>
      </w:pPr>
    </w:lvl>
    <w:lvl w:ilvl="5" w:tplc="B84A8DB8">
      <w:start w:val="1"/>
      <w:numFmt w:val="lowerRoman"/>
      <w:lvlText w:val="%6."/>
      <w:lvlJc w:val="right"/>
      <w:pPr>
        <w:ind w:left="5040" w:hanging="180"/>
      </w:pPr>
    </w:lvl>
    <w:lvl w:ilvl="6" w:tplc="66264F50">
      <w:start w:val="1"/>
      <w:numFmt w:val="decimal"/>
      <w:lvlText w:val="%7."/>
      <w:lvlJc w:val="left"/>
      <w:pPr>
        <w:ind w:left="5760" w:hanging="360"/>
      </w:pPr>
    </w:lvl>
    <w:lvl w:ilvl="7" w:tplc="3B5EED8C">
      <w:start w:val="1"/>
      <w:numFmt w:val="lowerLetter"/>
      <w:lvlText w:val="%8."/>
      <w:lvlJc w:val="left"/>
      <w:pPr>
        <w:ind w:left="6480" w:hanging="360"/>
      </w:pPr>
    </w:lvl>
    <w:lvl w:ilvl="8" w:tplc="C8A6FC2A">
      <w:start w:val="1"/>
      <w:numFmt w:val="lowerRoman"/>
      <w:lvlText w:val="%9."/>
      <w:lvlJc w:val="right"/>
      <w:pPr>
        <w:ind w:left="7200" w:hanging="180"/>
      </w:pPr>
    </w:lvl>
  </w:abstractNum>
  <w:abstractNum w:abstractNumId="21" w15:restartNumberingAfterBreak="0">
    <w:nsid w:val="75B80B1F"/>
    <w:multiLevelType w:val="hybridMultilevel"/>
    <w:tmpl w:val="6A3AA2C2"/>
    <w:lvl w:ilvl="0" w:tplc="762AC2C8">
      <w:start w:val="1"/>
      <w:numFmt w:val="upperLetter"/>
      <w:lvlText w:val="%1."/>
      <w:lvlJc w:val="left"/>
      <w:pPr>
        <w:ind w:left="1440" w:hanging="360"/>
      </w:pPr>
    </w:lvl>
    <w:lvl w:ilvl="1" w:tplc="F1D067B8">
      <w:start w:val="1"/>
      <w:numFmt w:val="lowerLetter"/>
      <w:lvlText w:val="%2."/>
      <w:lvlJc w:val="left"/>
      <w:pPr>
        <w:ind w:left="2160" w:hanging="360"/>
      </w:pPr>
    </w:lvl>
    <w:lvl w:ilvl="2" w:tplc="75B8A6D4">
      <w:start w:val="1"/>
      <w:numFmt w:val="lowerRoman"/>
      <w:lvlText w:val="%3."/>
      <w:lvlJc w:val="right"/>
      <w:pPr>
        <w:ind w:left="2880" w:hanging="180"/>
      </w:pPr>
    </w:lvl>
    <w:lvl w:ilvl="3" w:tplc="8BC457D4">
      <w:start w:val="1"/>
      <w:numFmt w:val="decimal"/>
      <w:lvlText w:val="%4."/>
      <w:lvlJc w:val="left"/>
      <w:pPr>
        <w:ind w:left="3600" w:hanging="360"/>
      </w:pPr>
    </w:lvl>
    <w:lvl w:ilvl="4" w:tplc="D974C8F4">
      <w:start w:val="1"/>
      <w:numFmt w:val="lowerLetter"/>
      <w:lvlText w:val="%5."/>
      <w:lvlJc w:val="left"/>
      <w:pPr>
        <w:ind w:left="4320" w:hanging="360"/>
      </w:pPr>
    </w:lvl>
    <w:lvl w:ilvl="5" w:tplc="CA7EFD78">
      <w:start w:val="1"/>
      <w:numFmt w:val="lowerRoman"/>
      <w:lvlText w:val="%6."/>
      <w:lvlJc w:val="right"/>
      <w:pPr>
        <w:ind w:left="5040" w:hanging="180"/>
      </w:pPr>
    </w:lvl>
    <w:lvl w:ilvl="6" w:tplc="6C489B2E">
      <w:start w:val="1"/>
      <w:numFmt w:val="decimal"/>
      <w:lvlText w:val="%7."/>
      <w:lvlJc w:val="left"/>
      <w:pPr>
        <w:ind w:left="5760" w:hanging="360"/>
      </w:pPr>
    </w:lvl>
    <w:lvl w:ilvl="7" w:tplc="C2B2D162">
      <w:start w:val="1"/>
      <w:numFmt w:val="lowerLetter"/>
      <w:lvlText w:val="%8."/>
      <w:lvlJc w:val="left"/>
      <w:pPr>
        <w:ind w:left="6480" w:hanging="360"/>
      </w:pPr>
    </w:lvl>
    <w:lvl w:ilvl="8" w:tplc="56521B7A">
      <w:start w:val="1"/>
      <w:numFmt w:val="lowerRoman"/>
      <w:lvlText w:val="%9."/>
      <w:lvlJc w:val="right"/>
      <w:pPr>
        <w:ind w:left="7200" w:hanging="180"/>
      </w:pPr>
    </w:lvl>
  </w:abstractNum>
  <w:abstractNum w:abstractNumId="22" w15:restartNumberingAfterBreak="0">
    <w:nsid w:val="7CBBC6D7"/>
    <w:multiLevelType w:val="hybridMultilevel"/>
    <w:tmpl w:val="DE18D4AE"/>
    <w:lvl w:ilvl="0" w:tplc="A03466E4">
      <w:start w:val="1"/>
      <w:numFmt w:val="decimal"/>
      <w:lvlText w:val="%1."/>
      <w:lvlJc w:val="left"/>
      <w:pPr>
        <w:ind w:left="1080" w:hanging="360"/>
      </w:pPr>
    </w:lvl>
    <w:lvl w:ilvl="1" w:tplc="CD4A436A">
      <w:start w:val="1"/>
      <w:numFmt w:val="lowerLetter"/>
      <w:lvlText w:val="%2."/>
      <w:lvlJc w:val="left"/>
      <w:pPr>
        <w:ind w:left="1800" w:hanging="360"/>
      </w:pPr>
    </w:lvl>
    <w:lvl w:ilvl="2" w:tplc="BA003812">
      <w:start w:val="1"/>
      <w:numFmt w:val="lowerRoman"/>
      <w:lvlText w:val="%3."/>
      <w:lvlJc w:val="right"/>
      <w:pPr>
        <w:ind w:left="2520" w:hanging="180"/>
      </w:pPr>
    </w:lvl>
    <w:lvl w:ilvl="3" w:tplc="73C82584">
      <w:start w:val="1"/>
      <w:numFmt w:val="decimal"/>
      <w:lvlText w:val="%4."/>
      <w:lvlJc w:val="left"/>
      <w:pPr>
        <w:ind w:left="3240" w:hanging="360"/>
      </w:pPr>
    </w:lvl>
    <w:lvl w:ilvl="4" w:tplc="8F842A74">
      <w:start w:val="1"/>
      <w:numFmt w:val="lowerLetter"/>
      <w:lvlText w:val="%5."/>
      <w:lvlJc w:val="left"/>
      <w:pPr>
        <w:ind w:left="3960" w:hanging="360"/>
      </w:pPr>
    </w:lvl>
    <w:lvl w:ilvl="5" w:tplc="1876E5E2">
      <w:start w:val="1"/>
      <w:numFmt w:val="lowerRoman"/>
      <w:lvlText w:val="%6."/>
      <w:lvlJc w:val="right"/>
      <w:pPr>
        <w:ind w:left="4680" w:hanging="180"/>
      </w:pPr>
    </w:lvl>
    <w:lvl w:ilvl="6" w:tplc="D6A4D488">
      <w:start w:val="1"/>
      <w:numFmt w:val="decimal"/>
      <w:lvlText w:val="%7."/>
      <w:lvlJc w:val="left"/>
      <w:pPr>
        <w:ind w:left="5400" w:hanging="360"/>
      </w:pPr>
    </w:lvl>
    <w:lvl w:ilvl="7" w:tplc="FBD01D1C">
      <w:start w:val="1"/>
      <w:numFmt w:val="lowerLetter"/>
      <w:lvlText w:val="%8."/>
      <w:lvlJc w:val="left"/>
      <w:pPr>
        <w:ind w:left="6120" w:hanging="360"/>
      </w:pPr>
    </w:lvl>
    <w:lvl w:ilvl="8" w:tplc="200246D4">
      <w:start w:val="1"/>
      <w:numFmt w:val="lowerRoman"/>
      <w:lvlText w:val="%9."/>
      <w:lvlJc w:val="right"/>
      <w:pPr>
        <w:ind w:left="6840" w:hanging="180"/>
      </w:pPr>
    </w:lvl>
  </w:abstractNum>
  <w:num w:numId="1" w16cid:durableId="1214537724">
    <w:abstractNumId w:val="10"/>
  </w:num>
  <w:num w:numId="2" w16cid:durableId="1629431091">
    <w:abstractNumId w:val="14"/>
  </w:num>
  <w:num w:numId="3" w16cid:durableId="1718433737">
    <w:abstractNumId w:val="22"/>
  </w:num>
  <w:num w:numId="4" w16cid:durableId="840461880">
    <w:abstractNumId w:val="0"/>
  </w:num>
  <w:num w:numId="5" w16cid:durableId="2048752573">
    <w:abstractNumId w:val="9"/>
  </w:num>
  <w:num w:numId="6" w16cid:durableId="150103953">
    <w:abstractNumId w:val="18"/>
  </w:num>
  <w:num w:numId="7" w16cid:durableId="707295702">
    <w:abstractNumId w:val="3"/>
  </w:num>
  <w:num w:numId="8" w16cid:durableId="1816486099">
    <w:abstractNumId w:val="8"/>
  </w:num>
  <w:num w:numId="9" w16cid:durableId="1421294141">
    <w:abstractNumId w:val="6"/>
  </w:num>
  <w:num w:numId="10" w16cid:durableId="1592858187">
    <w:abstractNumId w:val="19"/>
  </w:num>
  <w:num w:numId="11" w16cid:durableId="2145000645">
    <w:abstractNumId w:val="7"/>
  </w:num>
  <w:num w:numId="12" w16cid:durableId="461115259">
    <w:abstractNumId w:val="21"/>
  </w:num>
  <w:num w:numId="13" w16cid:durableId="111629899">
    <w:abstractNumId w:val="20"/>
  </w:num>
  <w:num w:numId="14" w16cid:durableId="544297980">
    <w:abstractNumId w:val="11"/>
  </w:num>
  <w:num w:numId="15" w16cid:durableId="2048328746">
    <w:abstractNumId w:val="17"/>
  </w:num>
  <w:num w:numId="16" w16cid:durableId="1696809516">
    <w:abstractNumId w:val="17"/>
    <w:lvlOverride w:ilvl="0">
      <w:startOverride w:val="1"/>
    </w:lvlOverride>
    <w:lvlOverride w:ilvl="1">
      <w:startOverride w:val="3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58370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2335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18644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72888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50160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32540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96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49059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32393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618266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8126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1431441">
    <w:abstractNumId w:val="17"/>
  </w:num>
  <w:num w:numId="29" w16cid:durableId="6993573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653847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3716339">
    <w:abstractNumId w:val="15"/>
  </w:num>
  <w:num w:numId="32" w16cid:durableId="1656911958">
    <w:abstractNumId w:val="16"/>
  </w:num>
  <w:num w:numId="33" w16cid:durableId="821890592">
    <w:abstractNumId w:val="17"/>
    <w:lvlOverride w:ilvl="0">
      <w:startOverride w:val="4"/>
    </w:lvlOverride>
    <w:lvlOverride w:ilvl="1">
      <w:startOverride w:val="1"/>
    </w:lvlOverride>
    <w:lvlOverride w:ilvl="2">
      <w:startOverride w:val="1"/>
    </w:lvlOverride>
    <w:lvlOverride w:ilvl="3">
      <w:startOverride w:val="3"/>
    </w:lvlOverride>
    <w:lvlOverride w:ilvl="4">
      <w:startOverride w:val="2"/>
    </w:lvlOverride>
    <w:lvlOverride w:ilvl="5">
      <w:startOverride w:val="4"/>
    </w:lvlOverride>
    <w:lvlOverride w:ilvl="6">
      <w:startOverride w:val="3"/>
    </w:lvlOverride>
    <w:lvlOverride w:ilvl="7">
      <w:startOverride w:val="1"/>
    </w:lvlOverride>
    <w:lvlOverride w:ilvl="8">
      <w:startOverride w:val="1"/>
    </w:lvlOverride>
  </w:num>
  <w:num w:numId="34" w16cid:durableId="145174424">
    <w:abstractNumId w:val="17"/>
    <w:lvlOverride w:ilvl="0">
      <w:startOverride w:val="4"/>
    </w:lvlOverride>
    <w:lvlOverride w:ilvl="1">
      <w:startOverride w:val="1"/>
    </w:lvlOverride>
    <w:lvlOverride w:ilvl="2">
      <w:startOverride w:val="1"/>
    </w:lvlOverride>
    <w:lvlOverride w:ilvl="3">
      <w:startOverride w:val="3"/>
    </w:lvlOverride>
    <w:lvlOverride w:ilvl="4">
      <w:startOverride w:val="2"/>
    </w:lvlOverride>
    <w:lvlOverride w:ilvl="5">
      <w:startOverride w:val="5"/>
    </w:lvlOverride>
    <w:lvlOverride w:ilvl="6">
      <w:startOverride w:val="1"/>
    </w:lvlOverride>
    <w:lvlOverride w:ilvl="7">
      <w:startOverride w:val="2"/>
    </w:lvlOverride>
    <w:lvlOverride w:ilvl="8">
      <w:startOverride w:val="1"/>
    </w:lvlOverride>
  </w:num>
  <w:num w:numId="35" w16cid:durableId="1116824811">
    <w:abstractNumId w:val="17"/>
    <w:lvlOverride w:ilvl="0">
      <w:startOverride w:val="4"/>
    </w:lvlOverride>
    <w:lvlOverride w:ilvl="1">
      <w:startOverride w:val="1"/>
    </w:lvlOverride>
    <w:lvlOverride w:ilvl="2">
      <w:startOverride w:val="1"/>
    </w:lvlOverride>
    <w:lvlOverride w:ilvl="3">
      <w:startOverride w:val="3"/>
    </w:lvlOverride>
    <w:lvlOverride w:ilvl="4">
      <w:startOverride w:val="2"/>
    </w:lvlOverride>
    <w:lvlOverride w:ilvl="5">
      <w:startOverride w:val="5"/>
    </w:lvlOverride>
    <w:lvlOverride w:ilvl="6">
      <w:startOverride w:val="3"/>
    </w:lvlOverride>
    <w:lvlOverride w:ilvl="7">
      <w:startOverride w:val="4"/>
    </w:lvlOverride>
    <w:lvlOverride w:ilvl="8">
      <w:startOverride w:val="1"/>
    </w:lvlOverride>
  </w:num>
  <w:num w:numId="36" w16cid:durableId="282198984">
    <w:abstractNumId w:val="17"/>
    <w:lvlOverride w:ilvl="0">
      <w:startOverride w:val="4"/>
    </w:lvlOverride>
    <w:lvlOverride w:ilvl="1">
      <w:startOverride w:val="1"/>
    </w:lvlOverride>
    <w:lvlOverride w:ilvl="2">
      <w:startOverride w:val="1"/>
    </w:lvlOverride>
    <w:lvlOverride w:ilvl="3">
      <w:startOverride w:val="3"/>
    </w:lvlOverride>
    <w:lvlOverride w:ilvl="4">
      <w:startOverride w:val="2"/>
    </w:lvlOverride>
    <w:lvlOverride w:ilvl="5">
      <w:startOverride w:val="5"/>
    </w:lvlOverride>
    <w:lvlOverride w:ilvl="6">
      <w:startOverride w:val="5"/>
    </w:lvlOverride>
    <w:lvlOverride w:ilvl="7">
      <w:startOverride w:val="6"/>
    </w:lvlOverride>
    <w:lvlOverride w:ilvl="8">
      <w:startOverride w:val="1"/>
    </w:lvlOverride>
  </w:num>
  <w:num w:numId="37" w16cid:durableId="1968389586">
    <w:abstractNumId w:val="17"/>
    <w:lvlOverride w:ilvl="0">
      <w:startOverride w:val="4"/>
    </w:lvlOverride>
    <w:lvlOverride w:ilvl="1">
      <w:startOverride w:val="1"/>
    </w:lvlOverride>
    <w:lvlOverride w:ilvl="2">
      <w:startOverride w:val="1"/>
    </w:lvlOverride>
    <w:lvlOverride w:ilvl="3">
      <w:startOverride w:val="3"/>
    </w:lvlOverride>
    <w:lvlOverride w:ilvl="4">
      <w:startOverride w:val="2"/>
    </w:lvlOverride>
    <w:lvlOverride w:ilvl="5">
      <w:startOverride w:val="5"/>
    </w:lvlOverride>
    <w:lvlOverride w:ilvl="6">
      <w:startOverride w:val="7"/>
    </w:lvlOverride>
    <w:lvlOverride w:ilvl="7">
      <w:startOverride w:val="1"/>
    </w:lvlOverride>
    <w:lvlOverride w:ilvl="8">
      <w:startOverride w:val="1"/>
    </w:lvlOverride>
  </w:num>
  <w:num w:numId="38" w16cid:durableId="1870332253">
    <w:abstractNumId w:val="17"/>
    <w:lvlOverride w:ilvl="0">
      <w:startOverride w:val="4"/>
    </w:lvlOverride>
    <w:lvlOverride w:ilvl="1">
      <w:startOverride w:val="1"/>
    </w:lvlOverride>
    <w:lvlOverride w:ilvl="2">
      <w:startOverride w:val="1"/>
    </w:lvlOverride>
    <w:lvlOverride w:ilvl="3">
      <w:startOverride w:val="3"/>
    </w:lvlOverride>
    <w:lvlOverride w:ilvl="4">
      <w:startOverride w:val="2"/>
    </w:lvlOverride>
    <w:lvlOverride w:ilvl="5">
      <w:startOverride w:val="5"/>
    </w:lvlOverride>
    <w:lvlOverride w:ilvl="6">
      <w:startOverride w:val="13"/>
    </w:lvlOverride>
    <w:lvlOverride w:ilvl="7">
      <w:startOverride w:val="1"/>
    </w:lvlOverride>
    <w:lvlOverride w:ilvl="8">
      <w:startOverride w:val="1"/>
    </w:lvlOverride>
  </w:num>
  <w:num w:numId="39" w16cid:durableId="1181122083">
    <w:abstractNumId w:val="17"/>
  </w:num>
  <w:num w:numId="40" w16cid:durableId="1629429084">
    <w:abstractNumId w:val="1"/>
  </w:num>
  <w:num w:numId="41" w16cid:durableId="677468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17017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971210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17019699">
    <w:abstractNumId w:val="13"/>
  </w:num>
  <w:num w:numId="45" w16cid:durableId="1024670144">
    <w:abstractNumId w:val="2"/>
  </w:num>
  <w:num w:numId="46" w16cid:durableId="342778407">
    <w:abstractNumId w:val="5"/>
  </w:num>
  <w:num w:numId="47" w16cid:durableId="521092495">
    <w:abstractNumId w:val="4"/>
  </w:num>
  <w:num w:numId="48" w16cid:durableId="1033266002">
    <w:abstractNumId w:val="12"/>
  </w:num>
  <w:num w:numId="49" w16cid:durableId="1273565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070343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973980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026050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711522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559628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504671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290228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553044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665933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129487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129586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59947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26565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704402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994893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774477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067992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901337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50966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849047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99057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11611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87736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614588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56166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480523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autoFormatOverrid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EA"/>
    <w:rsid w:val="00000E47"/>
    <w:rsid w:val="00001744"/>
    <w:rsid w:val="000018EC"/>
    <w:rsid w:val="0000401C"/>
    <w:rsid w:val="0000442D"/>
    <w:rsid w:val="00004534"/>
    <w:rsid w:val="000054C0"/>
    <w:rsid w:val="00010025"/>
    <w:rsid w:val="00010D14"/>
    <w:rsid w:val="00011E2C"/>
    <w:rsid w:val="0001266D"/>
    <w:rsid w:val="0001294A"/>
    <w:rsid w:val="00012997"/>
    <w:rsid w:val="00012B3E"/>
    <w:rsid w:val="0001307A"/>
    <w:rsid w:val="000131F6"/>
    <w:rsid w:val="00013658"/>
    <w:rsid w:val="00013B7B"/>
    <w:rsid w:val="00013E8B"/>
    <w:rsid w:val="0001416C"/>
    <w:rsid w:val="0001448E"/>
    <w:rsid w:val="00014DBA"/>
    <w:rsid w:val="0001683F"/>
    <w:rsid w:val="00017DA3"/>
    <w:rsid w:val="000204DD"/>
    <w:rsid w:val="000208E9"/>
    <w:rsid w:val="000213AB"/>
    <w:rsid w:val="000229B9"/>
    <w:rsid w:val="000229FB"/>
    <w:rsid w:val="000231F4"/>
    <w:rsid w:val="000232E5"/>
    <w:rsid w:val="00024365"/>
    <w:rsid w:val="000249D6"/>
    <w:rsid w:val="00026039"/>
    <w:rsid w:val="00026630"/>
    <w:rsid w:val="00027393"/>
    <w:rsid w:val="000306B6"/>
    <w:rsid w:val="00031B8F"/>
    <w:rsid w:val="00031E29"/>
    <w:rsid w:val="00032E9A"/>
    <w:rsid w:val="00034C7C"/>
    <w:rsid w:val="000352B6"/>
    <w:rsid w:val="00036912"/>
    <w:rsid w:val="000374E8"/>
    <w:rsid w:val="00040820"/>
    <w:rsid w:val="00041452"/>
    <w:rsid w:val="00041B6C"/>
    <w:rsid w:val="000423FC"/>
    <w:rsid w:val="00042E17"/>
    <w:rsid w:val="00042F34"/>
    <w:rsid w:val="00045B31"/>
    <w:rsid w:val="00046D53"/>
    <w:rsid w:val="00046E13"/>
    <w:rsid w:val="000479FD"/>
    <w:rsid w:val="00051D85"/>
    <w:rsid w:val="0005207E"/>
    <w:rsid w:val="00052159"/>
    <w:rsid w:val="00052A4D"/>
    <w:rsid w:val="0005305C"/>
    <w:rsid w:val="00054253"/>
    <w:rsid w:val="00054896"/>
    <w:rsid w:val="00055426"/>
    <w:rsid w:val="0005568E"/>
    <w:rsid w:val="00055D39"/>
    <w:rsid w:val="000572E5"/>
    <w:rsid w:val="00057C79"/>
    <w:rsid w:val="000607DD"/>
    <w:rsid w:val="0006087B"/>
    <w:rsid w:val="00060D9E"/>
    <w:rsid w:val="00060DA1"/>
    <w:rsid w:val="00061370"/>
    <w:rsid w:val="00061598"/>
    <w:rsid w:val="00061854"/>
    <w:rsid w:val="0006191D"/>
    <w:rsid w:val="00061972"/>
    <w:rsid w:val="000619AD"/>
    <w:rsid w:val="0006271C"/>
    <w:rsid w:val="00062874"/>
    <w:rsid w:val="000637B5"/>
    <w:rsid w:val="00063B37"/>
    <w:rsid w:val="00063CAE"/>
    <w:rsid w:val="00064611"/>
    <w:rsid w:val="00064D7B"/>
    <w:rsid w:val="0006572C"/>
    <w:rsid w:val="000665A2"/>
    <w:rsid w:val="000709E8"/>
    <w:rsid w:val="00071A62"/>
    <w:rsid w:val="00071F22"/>
    <w:rsid w:val="00072B6A"/>
    <w:rsid w:val="000737C8"/>
    <w:rsid w:val="00073C88"/>
    <w:rsid w:val="00073CA7"/>
    <w:rsid w:val="00073FAC"/>
    <w:rsid w:val="0007499B"/>
    <w:rsid w:val="000763B5"/>
    <w:rsid w:val="00077819"/>
    <w:rsid w:val="00077C26"/>
    <w:rsid w:val="00077F85"/>
    <w:rsid w:val="0008218A"/>
    <w:rsid w:val="000830E3"/>
    <w:rsid w:val="00083104"/>
    <w:rsid w:val="000849BA"/>
    <w:rsid w:val="00085A27"/>
    <w:rsid w:val="000863F8"/>
    <w:rsid w:val="000871FC"/>
    <w:rsid w:val="00087C74"/>
    <w:rsid w:val="00090942"/>
    <w:rsid w:val="0009182B"/>
    <w:rsid w:val="00091B4D"/>
    <w:rsid w:val="00092392"/>
    <w:rsid w:val="00092A21"/>
    <w:rsid w:val="00092A4E"/>
    <w:rsid w:val="00092B61"/>
    <w:rsid w:val="00093266"/>
    <w:rsid w:val="000935D5"/>
    <w:rsid w:val="000942A5"/>
    <w:rsid w:val="000946E2"/>
    <w:rsid w:val="000971AC"/>
    <w:rsid w:val="0009776B"/>
    <w:rsid w:val="000A06CA"/>
    <w:rsid w:val="000A09E0"/>
    <w:rsid w:val="000A21DB"/>
    <w:rsid w:val="000A289E"/>
    <w:rsid w:val="000A2CED"/>
    <w:rsid w:val="000A2E67"/>
    <w:rsid w:val="000A34EA"/>
    <w:rsid w:val="000A3AAE"/>
    <w:rsid w:val="000A5848"/>
    <w:rsid w:val="000B12A6"/>
    <w:rsid w:val="000B13E7"/>
    <w:rsid w:val="000B21C8"/>
    <w:rsid w:val="000B274A"/>
    <w:rsid w:val="000B28D5"/>
    <w:rsid w:val="000B36A6"/>
    <w:rsid w:val="000B3D82"/>
    <w:rsid w:val="000B40C7"/>
    <w:rsid w:val="000B42FD"/>
    <w:rsid w:val="000B4C26"/>
    <w:rsid w:val="000B5A30"/>
    <w:rsid w:val="000B5D1A"/>
    <w:rsid w:val="000B68E6"/>
    <w:rsid w:val="000C0006"/>
    <w:rsid w:val="000C2530"/>
    <w:rsid w:val="000C3ABF"/>
    <w:rsid w:val="000C421B"/>
    <w:rsid w:val="000C5533"/>
    <w:rsid w:val="000C56C0"/>
    <w:rsid w:val="000C5873"/>
    <w:rsid w:val="000C59A5"/>
    <w:rsid w:val="000C6153"/>
    <w:rsid w:val="000C795C"/>
    <w:rsid w:val="000C7C66"/>
    <w:rsid w:val="000D110A"/>
    <w:rsid w:val="000D1FEF"/>
    <w:rsid w:val="000D35A7"/>
    <w:rsid w:val="000D5E17"/>
    <w:rsid w:val="000D66E3"/>
    <w:rsid w:val="000D72B4"/>
    <w:rsid w:val="000E0893"/>
    <w:rsid w:val="000E20A3"/>
    <w:rsid w:val="000E22BF"/>
    <w:rsid w:val="000E2E72"/>
    <w:rsid w:val="000E343A"/>
    <w:rsid w:val="000E45D4"/>
    <w:rsid w:val="000E48BD"/>
    <w:rsid w:val="000E53B3"/>
    <w:rsid w:val="000E55F1"/>
    <w:rsid w:val="000E59B3"/>
    <w:rsid w:val="000E69EA"/>
    <w:rsid w:val="000E6A03"/>
    <w:rsid w:val="000E6C03"/>
    <w:rsid w:val="000E7384"/>
    <w:rsid w:val="000E7CAD"/>
    <w:rsid w:val="000F09B3"/>
    <w:rsid w:val="000F2A13"/>
    <w:rsid w:val="000F3D31"/>
    <w:rsid w:val="000F426E"/>
    <w:rsid w:val="000F5977"/>
    <w:rsid w:val="000F6E09"/>
    <w:rsid w:val="000F6FCB"/>
    <w:rsid w:val="000F719A"/>
    <w:rsid w:val="000F791A"/>
    <w:rsid w:val="00100152"/>
    <w:rsid w:val="00100EDF"/>
    <w:rsid w:val="001024E1"/>
    <w:rsid w:val="00103342"/>
    <w:rsid w:val="00103B61"/>
    <w:rsid w:val="00103D25"/>
    <w:rsid w:val="001049FE"/>
    <w:rsid w:val="00104DCA"/>
    <w:rsid w:val="00105065"/>
    <w:rsid w:val="00105D1B"/>
    <w:rsid w:val="00105DEA"/>
    <w:rsid w:val="00105F83"/>
    <w:rsid w:val="001062E1"/>
    <w:rsid w:val="00106468"/>
    <w:rsid w:val="00106BB2"/>
    <w:rsid w:val="00107D5C"/>
    <w:rsid w:val="00110679"/>
    <w:rsid w:val="00111540"/>
    <w:rsid w:val="00111DF0"/>
    <w:rsid w:val="001121CF"/>
    <w:rsid w:val="001135EF"/>
    <w:rsid w:val="00113A02"/>
    <w:rsid w:val="00114044"/>
    <w:rsid w:val="00114B05"/>
    <w:rsid w:val="00115314"/>
    <w:rsid w:val="001154E3"/>
    <w:rsid w:val="0011655D"/>
    <w:rsid w:val="00116E2F"/>
    <w:rsid w:val="001172E6"/>
    <w:rsid w:val="0011736C"/>
    <w:rsid w:val="001174BE"/>
    <w:rsid w:val="00117A23"/>
    <w:rsid w:val="00117AC9"/>
    <w:rsid w:val="00117D5E"/>
    <w:rsid w:val="00120319"/>
    <w:rsid w:val="00120F77"/>
    <w:rsid w:val="001215C4"/>
    <w:rsid w:val="00121821"/>
    <w:rsid w:val="00121D35"/>
    <w:rsid w:val="00122D09"/>
    <w:rsid w:val="0012398C"/>
    <w:rsid w:val="00124B83"/>
    <w:rsid w:val="0012527D"/>
    <w:rsid w:val="00126AAA"/>
    <w:rsid w:val="00126B0F"/>
    <w:rsid w:val="00130B28"/>
    <w:rsid w:val="00131CF2"/>
    <w:rsid w:val="001330B8"/>
    <w:rsid w:val="00133F84"/>
    <w:rsid w:val="00134AFD"/>
    <w:rsid w:val="00135019"/>
    <w:rsid w:val="001353D0"/>
    <w:rsid w:val="0013547F"/>
    <w:rsid w:val="00136013"/>
    <w:rsid w:val="001360A5"/>
    <w:rsid w:val="001361E5"/>
    <w:rsid w:val="001363E8"/>
    <w:rsid w:val="00136CB6"/>
    <w:rsid w:val="001402D3"/>
    <w:rsid w:val="00140499"/>
    <w:rsid w:val="00140728"/>
    <w:rsid w:val="0014081C"/>
    <w:rsid w:val="00141DF1"/>
    <w:rsid w:val="001435FB"/>
    <w:rsid w:val="00144CC6"/>
    <w:rsid w:val="001451E2"/>
    <w:rsid w:val="001456A0"/>
    <w:rsid w:val="00145C48"/>
    <w:rsid w:val="0014603B"/>
    <w:rsid w:val="00146332"/>
    <w:rsid w:val="00147B14"/>
    <w:rsid w:val="00151246"/>
    <w:rsid w:val="00151A3B"/>
    <w:rsid w:val="00151AF4"/>
    <w:rsid w:val="00152317"/>
    <w:rsid w:val="00152390"/>
    <w:rsid w:val="00152F0F"/>
    <w:rsid w:val="00153199"/>
    <w:rsid w:val="0015363F"/>
    <w:rsid w:val="00153F32"/>
    <w:rsid w:val="00154089"/>
    <w:rsid w:val="001552A6"/>
    <w:rsid w:val="001557B0"/>
    <w:rsid w:val="001559B2"/>
    <w:rsid w:val="00156250"/>
    <w:rsid w:val="00156E64"/>
    <w:rsid w:val="00157606"/>
    <w:rsid w:val="00157D85"/>
    <w:rsid w:val="0016084B"/>
    <w:rsid w:val="00160B06"/>
    <w:rsid w:val="00161EA9"/>
    <w:rsid w:val="00161F9C"/>
    <w:rsid w:val="00166201"/>
    <w:rsid w:val="0016641A"/>
    <w:rsid w:val="00166826"/>
    <w:rsid w:val="00166B37"/>
    <w:rsid w:val="001679B6"/>
    <w:rsid w:val="00167BC0"/>
    <w:rsid w:val="00167DD1"/>
    <w:rsid w:val="00170D24"/>
    <w:rsid w:val="00172165"/>
    <w:rsid w:val="001724D4"/>
    <w:rsid w:val="00173546"/>
    <w:rsid w:val="0017383A"/>
    <w:rsid w:val="00173E99"/>
    <w:rsid w:val="00174F9E"/>
    <w:rsid w:val="00175246"/>
    <w:rsid w:val="00175593"/>
    <w:rsid w:val="00175BDB"/>
    <w:rsid w:val="00175C0C"/>
    <w:rsid w:val="00175DF3"/>
    <w:rsid w:val="00176F4F"/>
    <w:rsid w:val="00177CD2"/>
    <w:rsid w:val="001823EE"/>
    <w:rsid w:val="00182F0C"/>
    <w:rsid w:val="00183076"/>
    <w:rsid w:val="00183C57"/>
    <w:rsid w:val="00184250"/>
    <w:rsid w:val="00184CE9"/>
    <w:rsid w:val="00184F43"/>
    <w:rsid w:val="00184F92"/>
    <w:rsid w:val="001855E8"/>
    <w:rsid w:val="00187A4D"/>
    <w:rsid w:val="001904D2"/>
    <w:rsid w:val="00190742"/>
    <w:rsid w:val="00190B33"/>
    <w:rsid w:val="001937F4"/>
    <w:rsid w:val="001938F4"/>
    <w:rsid w:val="00194684"/>
    <w:rsid w:val="0019498C"/>
    <w:rsid w:val="0019584E"/>
    <w:rsid w:val="00195F4F"/>
    <w:rsid w:val="00195F68"/>
    <w:rsid w:val="001968F1"/>
    <w:rsid w:val="0019741A"/>
    <w:rsid w:val="00197B5E"/>
    <w:rsid w:val="00197D3F"/>
    <w:rsid w:val="001A06EA"/>
    <w:rsid w:val="001A09B2"/>
    <w:rsid w:val="001A2ECE"/>
    <w:rsid w:val="001A4487"/>
    <w:rsid w:val="001A6101"/>
    <w:rsid w:val="001A6FC1"/>
    <w:rsid w:val="001B07DD"/>
    <w:rsid w:val="001B1015"/>
    <w:rsid w:val="001B10B5"/>
    <w:rsid w:val="001B1C79"/>
    <w:rsid w:val="001B2221"/>
    <w:rsid w:val="001B24F4"/>
    <w:rsid w:val="001B2D06"/>
    <w:rsid w:val="001B36EC"/>
    <w:rsid w:val="001B3B0B"/>
    <w:rsid w:val="001B3C62"/>
    <w:rsid w:val="001B3F38"/>
    <w:rsid w:val="001B4CD1"/>
    <w:rsid w:val="001B5284"/>
    <w:rsid w:val="001B6FE6"/>
    <w:rsid w:val="001B75F3"/>
    <w:rsid w:val="001B787C"/>
    <w:rsid w:val="001B7913"/>
    <w:rsid w:val="001C0C7D"/>
    <w:rsid w:val="001C1815"/>
    <w:rsid w:val="001C2F5A"/>
    <w:rsid w:val="001C339E"/>
    <w:rsid w:val="001C3610"/>
    <w:rsid w:val="001C3734"/>
    <w:rsid w:val="001C41F9"/>
    <w:rsid w:val="001D1408"/>
    <w:rsid w:val="001D1CC8"/>
    <w:rsid w:val="001D2D76"/>
    <w:rsid w:val="001D45B1"/>
    <w:rsid w:val="001D5797"/>
    <w:rsid w:val="001D602A"/>
    <w:rsid w:val="001D6085"/>
    <w:rsid w:val="001D7A4B"/>
    <w:rsid w:val="001D7B13"/>
    <w:rsid w:val="001D7C16"/>
    <w:rsid w:val="001D7CE3"/>
    <w:rsid w:val="001D7D41"/>
    <w:rsid w:val="001E0AA9"/>
    <w:rsid w:val="001E0E40"/>
    <w:rsid w:val="001E13F8"/>
    <w:rsid w:val="001E30FB"/>
    <w:rsid w:val="001E362A"/>
    <w:rsid w:val="001E3678"/>
    <w:rsid w:val="001E41DA"/>
    <w:rsid w:val="001E443E"/>
    <w:rsid w:val="001E4B1C"/>
    <w:rsid w:val="001E4CCD"/>
    <w:rsid w:val="001E513E"/>
    <w:rsid w:val="001E5487"/>
    <w:rsid w:val="001E5763"/>
    <w:rsid w:val="001E6327"/>
    <w:rsid w:val="001E77A0"/>
    <w:rsid w:val="001F0467"/>
    <w:rsid w:val="001F0A60"/>
    <w:rsid w:val="001F0AEA"/>
    <w:rsid w:val="001F0FED"/>
    <w:rsid w:val="001F1212"/>
    <w:rsid w:val="001F13BF"/>
    <w:rsid w:val="001F1491"/>
    <w:rsid w:val="001F1B95"/>
    <w:rsid w:val="001F1BB0"/>
    <w:rsid w:val="001F2513"/>
    <w:rsid w:val="001F2543"/>
    <w:rsid w:val="001F2972"/>
    <w:rsid w:val="001F3D23"/>
    <w:rsid w:val="001F4ECE"/>
    <w:rsid w:val="001F52FA"/>
    <w:rsid w:val="001F6E7C"/>
    <w:rsid w:val="001F7C02"/>
    <w:rsid w:val="001F7F70"/>
    <w:rsid w:val="0020010A"/>
    <w:rsid w:val="0020053F"/>
    <w:rsid w:val="0020071B"/>
    <w:rsid w:val="00201358"/>
    <w:rsid w:val="00201757"/>
    <w:rsid w:val="002037FE"/>
    <w:rsid w:val="00206CA1"/>
    <w:rsid w:val="00206CBD"/>
    <w:rsid w:val="00207229"/>
    <w:rsid w:val="00207654"/>
    <w:rsid w:val="00210106"/>
    <w:rsid w:val="00210107"/>
    <w:rsid w:val="002101A4"/>
    <w:rsid w:val="00210501"/>
    <w:rsid w:val="00210855"/>
    <w:rsid w:val="002109B6"/>
    <w:rsid w:val="00211EED"/>
    <w:rsid w:val="00212C54"/>
    <w:rsid w:val="00213C3B"/>
    <w:rsid w:val="00214173"/>
    <w:rsid w:val="00214522"/>
    <w:rsid w:val="00215313"/>
    <w:rsid w:val="00215630"/>
    <w:rsid w:val="00215A01"/>
    <w:rsid w:val="0021611F"/>
    <w:rsid w:val="00216401"/>
    <w:rsid w:val="00216DAB"/>
    <w:rsid w:val="00217ED0"/>
    <w:rsid w:val="002208BB"/>
    <w:rsid w:val="0022091C"/>
    <w:rsid w:val="002211A9"/>
    <w:rsid w:val="002215A3"/>
    <w:rsid w:val="00221ECE"/>
    <w:rsid w:val="00223C6B"/>
    <w:rsid w:val="00223DBD"/>
    <w:rsid w:val="002243AB"/>
    <w:rsid w:val="002244C0"/>
    <w:rsid w:val="00225730"/>
    <w:rsid w:val="0022591C"/>
    <w:rsid w:val="00226834"/>
    <w:rsid w:val="00226991"/>
    <w:rsid w:val="00227828"/>
    <w:rsid w:val="002313F9"/>
    <w:rsid w:val="00231421"/>
    <w:rsid w:val="00233D7C"/>
    <w:rsid w:val="0023425B"/>
    <w:rsid w:val="00234628"/>
    <w:rsid w:val="00234C0E"/>
    <w:rsid w:val="002356FE"/>
    <w:rsid w:val="002364EE"/>
    <w:rsid w:val="00236C8E"/>
    <w:rsid w:val="00237186"/>
    <w:rsid w:val="00237912"/>
    <w:rsid w:val="00237AE0"/>
    <w:rsid w:val="00237C26"/>
    <w:rsid w:val="00237CC4"/>
    <w:rsid w:val="00240DF0"/>
    <w:rsid w:val="00244C4E"/>
    <w:rsid w:val="00244EA0"/>
    <w:rsid w:val="00244EF4"/>
    <w:rsid w:val="0024631F"/>
    <w:rsid w:val="00246725"/>
    <w:rsid w:val="002468EE"/>
    <w:rsid w:val="00250C49"/>
    <w:rsid w:val="00251AC8"/>
    <w:rsid w:val="00252B85"/>
    <w:rsid w:val="002532D7"/>
    <w:rsid w:val="0025347D"/>
    <w:rsid w:val="002535CC"/>
    <w:rsid w:val="00254205"/>
    <w:rsid w:val="002543FA"/>
    <w:rsid w:val="00255241"/>
    <w:rsid w:val="00255AC4"/>
    <w:rsid w:val="00255DBB"/>
    <w:rsid w:val="00255E46"/>
    <w:rsid w:val="00260066"/>
    <w:rsid w:val="00260718"/>
    <w:rsid w:val="0026117B"/>
    <w:rsid w:val="002612DE"/>
    <w:rsid w:val="00261C49"/>
    <w:rsid w:val="0026252F"/>
    <w:rsid w:val="0026275A"/>
    <w:rsid w:val="002630A0"/>
    <w:rsid w:val="002632AA"/>
    <w:rsid w:val="002636C8"/>
    <w:rsid w:val="00263D0E"/>
    <w:rsid w:val="002676C8"/>
    <w:rsid w:val="002679C6"/>
    <w:rsid w:val="00267FB0"/>
    <w:rsid w:val="002708F1"/>
    <w:rsid w:val="00270EF8"/>
    <w:rsid w:val="002723A3"/>
    <w:rsid w:val="00272A71"/>
    <w:rsid w:val="00274EB9"/>
    <w:rsid w:val="002753AA"/>
    <w:rsid w:val="00277191"/>
    <w:rsid w:val="00277E01"/>
    <w:rsid w:val="0028047B"/>
    <w:rsid w:val="00280499"/>
    <w:rsid w:val="002804FF"/>
    <w:rsid w:val="002808FC"/>
    <w:rsid w:val="0028197B"/>
    <w:rsid w:val="00281CCB"/>
    <w:rsid w:val="00281EF2"/>
    <w:rsid w:val="00283339"/>
    <w:rsid w:val="00283568"/>
    <w:rsid w:val="00283E88"/>
    <w:rsid w:val="00283F96"/>
    <w:rsid w:val="00285672"/>
    <w:rsid w:val="002856AA"/>
    <w:rsid w:val="0028663B"/>
    <w:rsid w:val="0028777B"/>
    <w:rsid w:val="00287961"/>
    <w:rsid w:val="00287A98"/>
    <w:rsid w:val="00287BB0"/>
    <w:rsid w:val="00290C93"/>
    <w:rsid w:val="00290EE3"/>
    <w:rsid w:val="002933BB"/>
    <w:rsid w:val="00293975"/>
    <w:rsid w:val="00293B44"/>
    <w:rsid w:val="00294312"/>
    <w:rsid w:val="0029452C"/>
    <w:rsid w:val="00295030"/>
    <w:rsid w:val="002956C2"/>
    <w:rsid w:val="00295D36"/>
    <w:rsid w:val="00296418"/>
    <w:rsid w:val="002965BD"/>
    <w:rsid w:val="002A0679"/>
    <w:rsid w:val="002A08A7"/>
    <w:rsid w:val="002A1065"/>
    <w:rsid w:val="002A150F"/>
    <w:rsid w:val="002A22D5"/>
    <w:rsid w:val="002A2454"/>
    <w:rsid w:val="002A28C3"/>
    <w:rsid w:val="002A2BF3"/>
    <w:rsid w:val="002A3059"/>
    <w:rsid w:val="002A3111"/>
    <w:rsid w:val="002A5C21"/>
    <w:rsid w:val="002A617E"/>
    <w:rsid w:val="002A6E0D"/>
    <w:rsid w:val="002A7CB7"/>
    <w:rsid w:val="002B22B2"/>
    <w:rsid w:val="002B3DD4"/>
    <w:rsid w:val="002B4623"/>
    <w:rsid w:val="002B5168"/>
    <w:rsid w:val="002B56B4"/>
    <w:rsid w:val="002B59BB"/>
    <w:rsid w:val="002B667C"/>
    <w:rsid w:val="002B767E"/>
    <w:rsid w:val="002B7F02"/>
    <w:rsid w:val="002C0008"/>
    <w:rsid w:val="002C078C"/>
    <w:rsid w:val="002C12BE"/>
    <w:rsid w:val="002C1712"/>
    <w:rsid w:val="002C176D"/>
    <w:rsid w:val="002C32B5"/>
    <w:rsid w:val="002C33C5"/>
    <w:rsid w:val="002C3926"/>
    <w:rsid w:val="002C3D2E"/>
    <w:rsid w:val="002C4071"/>
    <w:rsid w:val="002C6446"/>
    <w:rsid w:val="002C7371"/>
    <w:rsid w:val="002C74F4"/>
    <w:rsid w:val="002D34D8"/>
    <w:rsid w:val="002D39B3"/>
    <w:rsid w:val="002D3CF2"/>
    <w:rsid w:val="002D444C"/>
    <w:rsid w:val="002D4B29"/>
    <w:rsid w:val="002D5CD6"/>
    <w:rsid w:val="002D6138"/>
    <w:rsid w:val="002D64A9"/>
    <w:rsid w:val="002D6B1C"/>
    <w:rsid w:val="002E01AB"/>
    <w:rsid w:val="002E08AA"/>
    <w:rsid w:val="002E1C3E"/>
    <w:rsid w:val="002E1C7D"/>
    <w:rsid w:val="002E1D2E"/>
    <w:rsid w:val="002E291B"/>
    <w:rsid w:val="002E3412"/>
    <w:rsid w:val="002E49CA"/>
    <w:rsid w:val="002E5089"/>
    <w:rsid w:val="002E51C8"/>
    <w:rsid w:val="002E54C5"/>
    <w:rsid w:val="002E56BF"/>
    <w:rsid w:val="002E61F9"/>
    <w:rsid w:val="002E630A"/>
    <w:rsid w:val="002E6CE0"/>
    <w:rsid w:val="002E7E36"/>
    <w:rsid w:val="002E7F33"/>
    <w:rsid w:val="002F0FB9"/>
    <w:rsid w:val="002F2070"/>
    <w:rsid w:val="002F2668"/>
    <w:rsid w:val="002F355A"/>
    <w:rsid w:val="002F35BC"/>
    <w:rsid w:val="002F4BE9"/>
    <w:rsid w:val="002F561D"/>
    <w:rsid w:val="002F6196"/>
    <w:rsid w:val="002F6A2A"/>
    <w:rsid w:val="002F6E17"/>
    <w:rsid w:val="002F99AB"/>
    <w:rsid w:val="00300057"/>
    <w:rsid w:val="00300451"/>
    <w:rsid w:val="003012BC"/>
    <w:rsid w:val="003038DC"/>
    <w:rsid w:val="003040B7"/>
    <w:rsid w:val="00304217"/>
    <w:rsid w:val="003054E4"/>
    <w:rsid w:val="00306233"/>
    <w:rsid w:val="0030649B"/>
    <w:rsid w:val="0030741A"/>
    <w:rsid w:val="00307636"/>
    <w:rsid w:val="00307CE3"/>
    <w:rsid w:val="003102D4"/>
    <w:rsid w:val="003108E2"/>
    <w:rsid w:val="00310A05"/>
    <w:rsid w:val="003113A3"/>
    <w:rsid w:val="00311D95"/>
    <w:rsid w:val="003121F5"/>
    <w:rsid w:val="00312974"/>
    <w:rsid w:val="00312F39"/>
    <w:rsid w:val="00313DC5"/>
    <w:rsid w:val="003172B1"/>
    <w:rsid w:val="00317C9A"/>
    <w:rsid w:val="00320927"/>
    <w:rsid w:val="003222A8"/>
    <w:rsid w:val="00323275"/>
    <w:rsid w:val="00323309"/>
    <w:rsid w:val="00323793"/>
    <w:rsid w:val="00323872"/>
    <w:rsid w:val="00324E30"/>
    <w:rsid w:val="00324F5E"/>
    <w:rsid w:val="00325278"/>
    <w:rsid w:val="00326BE5"/>
    <w:rsid w:val="00326C08"/>
    <w:rsid w:val="00326DF6"/>
    <w:rsid w:val="003274A6"/>
    <w:rsid w:val="003314B6"/>
    <w:rsid w:val="00332238"/>
    <w:rsid w:val="003324BE"/>
    <w:rsid w:val="003328E8"/>
    <w:rsid w:val="00332BFB"/>
    <w:rsid w:val="003337AC"/>
    <w:rsid w:val="00335AD5"/>
    <w:rsid w:val="00336706"/>
    <w:rsid w:val="003367CC"/>
    <w:rsid w:val="00336CF8"/>
    <w:rsid w:val="00337568"/>
    <w:rsid w:val="00337624"/>
    <w:rsid w:val="0034076B"/>
    <w:rsid w:val="00342123"/>
    <w:rsid w:val="00342ABF"/>
    <w:rsid w:val="00343159"/>
    <w:rsid w:val="00343826"/>
    <w:rsid w:val="0034389D"/>
    <w:rsid w:val="00344A0F"/>
    <w:rsid w:val="00345835"/>
    <w:rsid w:val="00345ED3"/>
    <w:rsid w:val="00346D59"/>
    <w:rsid w:val="00347417"/>
    <w:rsid w:val="003508D5"/>
    <w:rsid w:val="00351321"/>
    <w:rsid w:val="00353D18"/>
    <w:rsid w:val="003543CE"/>
    <w:rsid w:val="00354720"/>
    <w:rsid w:val="00354AD2"/>
    <w:rsid w:val="0035545E"/>
    <w:rsid w:val="00355BF3"/>
    <w:rsid w:val="00355DF1"/>
    <w:rsid w:val="003563C9"/>
    <w:rsid w:val="0035751A"/>
    <w:rsid w:val="003606F1"/>
    <w:rsid w:val="00360D17"/>
    <w:rsid w:val="003620CF"/>
    <w:rsid w:val="00362492"/>
    <w:rsid w:val="0036298F"/>
    <w:rsid w:val="0036393A"/>
    <w:rsid w:val="00364650"/>
    <w:rsid w:val="00364AE9"/>
    <w:rsid w:val="00364D7A"/>
    <w:rsid w:val="00366261"/>
    <w:rsid w:val="00366288"/>
    <w:rsid w:val="0036690B"/>
    <w:rsid w:val="00366B8A"/>
    <w:rsid w:val="00366B99"/>
    <w:rsid w:val="00370ED0"/>
    <w:rsid w:val="00370FDE"/>
    <w:rsid w:val="0037137D"/>
    <w:rsid w:val="00371849"/>
    <w:rsid w:val="003718E5"/>
    <w:rsid w:val="00372246"/>
    <w:rsid w:val="00373D10"/>
    <w:rsid w:val="003750F8"/>
    <w:rsid w:val="003753AC"/>
    <w:rsid w:val="003753CB"/>
    <w:rsid w:val="00375B58"/>
    <w:rsid w:val="00375FBA"/>
    <w:rsid w:val="00376DB9"/>
    <w:rsid w:val="003776B4"/>
    <w:rsid w:val="00381114"/>
    <w:rsid w:val="00381DC3"/>
    <w:rsid w:val="00382657"/>
    <w:rsid w:val="00382E05"/>
    <w:rsid w:val="00383C84"/>
    <w:rsid w:val="0038410A"/>
    <w:rsid w:val="0038416A"/>
    <w:rsid w:val="00385387"/>
    <w:rsid w:val="00386C4D"/>
    <w:rsid w:val="00387F6E"/>
    <w:rsid w:val="00391806"/>
    <w:rsid w:val="003919B7"/>
    <w:rsid w:val="00391FAD"/>
    <w:rsid w:val="00392587"/>
    <w:rsid w:val="00393488"/>
    <w:rsid w:val="00393585"/>
    <w:rsid w:val="00393D5A"/>
    <w:rsid w:val="00394D55"/>
    <w:rsid w:val="00396DA2"/>
    <w:rsid w:val="00397D48"/>
    <w:rsid w:val="00397D96"/>
    <w:rsid w:val="003A0590"/>
    <w:rsid w:val="003A074B"/>
    <w:rsid w:val="003A0DE5"/>
    <w:rsid w:val="003A19EF"/>
    <w:rsid w:val="003A2060"/>
    <w:rsid w:val="003A2500"/>
    <w:rsid w:val="003A56DA"/>
    <w:rsid w:val="003A5A38"/>
    <w:rsid w:val="003A66C2"/>
    <w:rsid w:val="003A72AE"/>
    <w:rsid w:val="003A76E8"/>
    <w:rsid w:val="003B1528"/>
    <w:rsid w:val="003B1B84"/>
    <w:rsid w:val="003B5D49"/>
    <w:rsid w:val="003B68F5"/>
    <w:rsid w:val="003C1489"/>
    <w:rsid w:val="003C3159"/>
    <w:rsid w:val="003C38C2"/>
    <w:rsid w:val="003C492B"/>
    <w:rsid w:val="003C4D85"/>
    <w:rsid w:val="003C58ED"/>
    <w:rsid w:val="003C67D5"/>
    <w:rsid w:val="003C6B1A"/>
    <w:rsid w:val="003C75E2"/>
    <w:rsid w:val="003D0AD5"/>
    <w:rsid w:val="003D1084"/>
    <w:rsid w:val="003D16BD"/>
    <w:rsid w:val="003D362E"/>
    <w:rsid w:val="003D3A07"/>
    <w:rsid w:val="003D3AF9"/>
    <w:rsid w:val="003D4125"/>
    <w:rsid w:val="003D4664"/>
    <w:rsid w:val="003D504D"/>
    <w:rsid w:val="003D5F0B"/>
    <w:rsid w:val="003D6865"/>
    <w:rsid w:val="003D75C7"/>
    <w:rsid w:val="003E0672"/>
    <w:rsid w:val="003E167C"/>
    <w:rsid w:val="003E1945"/>
    <w:rsid w:val="003E219A"/>
    <w:rsid w:val="003E23D2"/>
    <w:rsid w:val="003E3D1A"/>
    <w:rsid w:val="003E5634"/>
    <w:rsid w:val="003E6295"/>
    <w:rsid w:val="003E7B4F"/>
    <w:rsid w:val="003F02CA"/>
    <w:rsid w:val="003F1AB2"/>
    <w:rsid w:val="003F27C8"/>
    <w:rsid w:val="003F2B78"/>
    <w:rsid w:val="003F5989"/>
    <w:rsid w:val="003F620C"/>
    <w:rsid w:val="003F6751"/>
    <w:rsid w:val="003F6DCB"/>
    <w:rsid w:val="003F7184"/>
    <w:rsid w:val="00400FB8"/>
    <w:rsid w:val="0040193E"/>
    <w:rsid w:val="00401A3E"/>
    <w:rsid w:val="00401E6A"/>
    <w:rsid w:val="0040290D"/>
    <w:rsid w:val="00402B20"/>
    <w:rsid w:val="00402E72"/>
    <w:rsid w:val="004031BB"/>
    <w:rsid w:val="004050C6"/>
    <w:rsid w:val="004050CA"/>
    <w:rsid w:val="004055CD"/>
    <w:rsid w:val="0040630B"/>
    <w:rsid w:val="004066E5"/>
    <w:rsid w:val="0040688F"/>
    <w:rsid w:val="00406E20"/>
    <w:rsid w:val="00410565"/>
    <w:rsid w:val="00410CF2"/>
    <w:rsid w:val="00410FF3"/>
    <w:rsid w:val="00413075"/>
    <w:rsid w:val="0041330F"/>
    <w:rsid w:val="004158FB"/>
    <w:rsid w:val="00416FA3"/>
    <w:rsid w:val="00417059"/>
    <w:rsid w:val="00417128"/>
    <w:rsid w:val="004173F0"/>
    <w:rsid w:val="004202F8"/>
    <w:rsid w:val="004206B0"/>
    <w:rsid w:val="00421C52"/>
    <w:rsid w:val="004225CF"/>
    <w:rsid w:val="0042414A"/>
    <w:rsid w:val="00424FD2"/>
    <w:rsid w:val="0042532E"/>
    <w:rsid w:val="00426370"/>
    <w:rsid w:val="00426E33"/>
    <w:rsid w:val="00427671"/>
    <w:rsid w:val="00427A4D"/>
    <w:rsid w:val="00427EBC"/>
    <w:rsid w:val="004303D5"/>
    <w:rsid w:val="0043050F"/>
    <w:rsid w:val="004316F4"/>
    <w:rsid w:val="00432083"/>
    <w:rsid w:val="004323D7"/>
    <w:rsid w:val="00432A00"/>
    <w:rsid w:val="004330F1"/>
    <w:rsid w:val="0043489F"/>
    <w:rsid w:val="00434DB3"/>
    <w:rsid w:val="004350E1"/>
    <w:rsid w:val="0043783B"/>
    <w:rsid w:val="004403FB"/>
    <w:rsid w:val="004425A4"/>
    <w:rsid w:val="00443664"/>
    <w:rsid w:val="00443DEA"/>
    <w:rsid w:val="00443F01"/>
    <w:rsid w:val="00444557"/>
    <w:rsid w:val="00446092"/>
    <w:rsid w:val="004466B5"/>
    <w:rsid w:val="00446B49"/>
    <w:rsid w:val="00446F76"/>
    <w:rsid w:val="00447660"/>
    <w:rsid w:val="00450340"/>
    <w:rsid w:val="004518C7"/>
    <w:rsid w:val="004530DF"/>
    <w:rsid w:val="00453DAC"/>
    <w:rsid w:val="004547CB"/>
    <w:rsid w:val="00454859"/>
    <w:rsid w:val="00455512"/>
    <w:rsid w:val="0045603F"/>
    <w:rsid w:val="00456930"/>
    <w:rsid w:val="00456C0B"/>
    <w:rsid w:val="00456FCB"/>
    <w:rsid w:val="004573C7"/>
    <w:rsid w:val="004573E8"/>
    <w:rsid w:val="0046075B"/>
    <w:rsid w:val="00460E8D"/>
    <w:rsid w:val="004613CA"/>
    <w:rsid w:val="00461468"/>
    <w:rsid w:val="00461658"/>
    <w:rsid w:val="00462223"/>
    <w:rsid w:val="00462A3B"/>
    <w:rsid w:val="004638E3"/>
    <w:rsid w:val="00463B84"/>
    <w:rsid w:val="00463F15"/>
    <w:rsid w:val="0046470C"/>
    <w:rsid w:val="00464C77"/>
    <w:rsid w:val="00466382"/>
    <w:rsid w:val="00466EE9"/>
    <w:rsid w:val="00467268"/>
    <w:rsid w:val="00467F2C"/>
    <w:rsid w:val="004708E9"/>
    <w:rsid w:val="0047230B"/>
    <w:rsid w:val="00472F71"/>
    <w:rsid w:val="00473601"/>
    <w:rsid w:val="00474237"/>
    <w:rsid w:val="00474C12"/>
    <w:rsid w:val="004750B3"/>
    <w:rsid w:val="00477D48"/>
    <w:rsid w:val="0048126C"/>
    <w:rsid w:val="004836B9"/>
    <w:rsid w:val="004838DC"/>
    <w:rsid w:val="00485FDF"/>
    <w:rsid w:val="0048618C"/>
    <w:rsid w:val="0048662B"/>
    <w:rsid w:val="00487CA4"/>
    <w:rsid w:val="00490394"/>
    <w:rsid w:val="00490D3E"/>
    <w:rsid w:val="004912CC"/>
    <w:rsid w:val="00493A55"/>
    <w:rsid w:val="00494634"/>
    <w:rsid w:val="004947C8"/>
    <w:rsid w:val="0049626D"/>
    <w:rsid w:val="0049636D"/>
    <w:rsid w:val="00496D55"/>
    <w:rsid w:val="004A0077"/>
    <w:rsid w:val="004A05AE"/>
    <w:rsid w:val="004A10FA"/>
    <w:rsid w:val="004A1895"/>
    <w:rsid w:val="004A2676"/>
    <w:rsid w:val="004A2954"/>
    <w:rsid w:val="004A36CC"/>
    <w:rsid w:val="004A3B80"/>
    <w:rsid w:val="004A4B61"/>
    <w:rsid w:val="004A5378"/>
    <w:rsid w:val="004A6FAA"/>
    <w:rsid w:val="004B1138"/>
    <w:rsid w:val="004B174E"/>
    <w:rsid w:val="004B2179"/>
    <w:rsid w:val="004B2B47"/>
    <w:rsid w:val="004B2FCB"/>
    <w:rsid w:val="004B4050"/>
    <w:rsid w:val="004B41D1"/>
    <w:rsid w:val="004B457C"/>
    <w:rsid w:val="004B478C"/>
    <w:rsid w:val="004B5970"/>
    <w:rsid w:val="004B5EC9"/>
    <w:rsid w:val="004B6918"/>
    <w:rsid w:val="004C0273"/>
    <w:rsid w:val="004C17CC"/>
    <w:rsid w:val="004C1BFD"/>
    <w:rsid w:val="004C2BF7"/>
    <w:rsid w:val="004C2EAD"/>
    <w:rsid w:val="004C3160"/>
    <w:rsid w:val="004C40E4"/>
    <w:rsid w:val="004C4206"/>
    <w:rsid w:val="004C4C4F"/>
    <w:rsid w:val="004C5108"/>
    <w:rsid w:val="004C55DC"/>
    <w:rsid w:val="004C6137"/>
    <w:rsid w:val="004C64EF"/>
    <w:rsid w:val="004C6AA0"/>
    <w:rsid w:val="004D154B"/>
    <w:rsid w:val="004D170F"/>
    <w:rsid w:val="004D1D63"/>
    <w:rsid w:val="004D2551"/>
    <w:rsid w:val="004D27E7"/>
    <w:rsid w:val="004D2DE7"/>
    <w:rsid w:val="004D2E0C"/>
    <w:rsid w:val="004D3BED"/>
    <w:rsid w:val="004D4354"/>
    <w:rsid w:val="004D4E6A"/>
    <w:rsid w:val="004D4F47"/>
    <w:rsid w:val="004D6002"/>
    <w:rsid w:val="004D7F90"/>
    <w:rsid w:val="004E03DE"/>
    <w:rsid w:val="004E144F"/>
    <w:rsid w:val="004E1C7F"/>
    <w:rsid w:val="004E2CBE"/>
    <w:rsid w:val="004E2E0D"/>
    <w:rsid w:val="004E352C"/>
    <w:rsid w:val="004E4485"/>
    <w:rsid w:val="004E6C4B"/>
    <w:rsid w:val="004E7178"/>
    <w:rsid w:val="004F0100"/>
    <w:rsid w:val="004F1E14"/>
    <w:rsid w:val="004F2352"/>
    <w:rsid w:val="004F2981"/>
    <w:rsid w:val="004F30DB"/>
    <w:rsid w:val="004F4165"/>
    <w:rsid w:val="004F450B"/>
    <w:rsid w:val="004F464B"/>
    <w:rsid w:val="004F4BA9"/>
    <w:rsid w:val="004F4F40"/>
    <w:rsid w:val="004F5342"/>
    <w:rsid w:val="004F6B63"/>
    <w:rsid w:val="00501D1F"/>
    <w:rsid w:val="00502026"/>
    <w:rsid w:val="00502832"/>
    <w:rsid w:val="00503E90"/>
    <w:rsid w:val="0050530A"/>
    <w:rsid w:val="00505489"/>
    <w:rsid w:val="00506119"/>
    <w:rsid w:val="00506673"/>
    <w:rsid w:val="00511CF2"/>
    <w:rsid w:val="00511E75"/>
    <w:rsid w:val="00511EC2"/>
    <w:rsid w:val="00512201"/>
    <w:rsid w:val="0051239F"/>
    <w:rsid w:val="005129CA"/>
    <w:rsid w:val="00515055"/>
    <w:rsid w:val="00515118"/>
    <w:rsid w:val="005154AB"/>
    <w:rsid w:val="00515FB3"/>
    <w:rsid w:val="005167E6"/>
    <w:rsid w:val="00517705"/>
    <w:rsid w:val="005177FC"/>
    <w:rsid w:val="00517D3C"/>
    <w:rsid w:val="005207D4"/>
    <w:rsid w:val="0052158C"/>
    <w:rsid w:val="00521F58"/>
    <w:rsid w:val="005220F9"/>
    <w:rsid w:val="00522A49"/>
    <w:rsid w:val="0052424C"/>
    <w:rsid w:val="00524278"/>
    <w:rsid w:val="00524707"/>
    <w:rsid w:val="00524D03"/>
    <w:rsid w:val="00525385"/>
    <w:rsid w:val="00525550"/>
    <w:rsid w:val="00525A61"/>
    <w:rsid w:val="00525D4D"/>
    <w:rsid w:val="00527292"/>
    <w:rsid w:val="00527FCC"/>
    <w:rsid w:val="0053089A"/>
    <w:rsid w:val="00531528"/>
    <w:rsid w:val="00531B59"/>
    <w:rsid w:val="00531D1D"/>
    <w:rsid w:val="005326A9"/>
    <w:rsid w:val="005334F2"/>
    <w:rsid w:val="00534EDF"/>
    <w:rsid w:val="00535173"/>
    <w:rsid w:val="005370A3"/>
    <w:rsid w:val="00542BCD"/>
    <w:rsid w:val="00542CF3"/>
    <w:rsid w:val="00543DDD"/>
    <w:rsid w:val="0054767C"/>
    <w:rsid w:val="005477E4"/>
    <w:rsid w:val="00547F20"/>
    <w:rsid w:val="0055038A"/>
    <w:rsid w:val="00551179"/>
    <w:rsid w:val="00551DAC"/>
    <w:rsid w:val="005530F8"/>
    <w:rsid w:val="005532E5"/>
    <w:rsid w:val="005533F0"/>
    <w:rsid w:val="00553532"/>
    <w:rsid w:val="005536EB"/>
    <w:rsid w:val="00554510"/>
    <w:rsid w:val="00554687"/>
    <w:rsid w:val="005559B8"/>
    <w:rsid w:val="00556A71"/>
    <w:rsid w:val="0056024A"/>
    <w:rsid w:val="00560602"/>
    <w:rsid w:val="00560E32"/>
    <w:rsid w:val="0056146C"/>
    <w:rsid w:val="005618EF"/>
    <w:rsid w:val="005626D6"/>
    <w:rsid w:val="00562F03"/>
    <w:rsid w:val="00563128"/>
    <w:rsid w:val="00563C0C"/>
    <w:rsid w:val="00563C5B"/>
    <w:rsid w:val="00565076"/>
    <w:rsid w:val="00565302"/>
    <w:rsid w:val="005653FE"/>
    <w:rsid w:val="005664F3"/>
    <w:rsid w:val="00571078"/>
    <w:rsid w:val="005711DF"/>
    <w:rsid w:val="00572217"/>
    <w:rsid w:val="00572546"/>
    <w:rsid w:val="0057369F"/>
    <w:rsid w:val="00573892"/>
    <w:rsid w:val="00573D45"/>
    <w:rsid w:val="00574247"/>
    <w:rsid w:val="00575926"/>
    <w:rsid w:val="00575995"/>
    <w:rsid w:val="005770E9"/>
    <w:rsid w:val="00577AE2"/>
    <w:rsid w:val="00580491"/>
    <w:rsid w:val="00581270"/>
    <w:rsid w:val="0058196C"/>
    <w:rsid w:val="0058230C"/>
    <w:rsid w:val="005823B4"/>
    <w:rsid w:val="005829CA"/>
    <w:rsid w:val="00583147"/>
    <w:rsid w:val="00583313"/>
    <w:rsid w:val="0058558C"/>
    <w:rsid w:val="00585675"/>
    <w:rsid w:val="00585D92"/>
    <w:rsid w:val="00586DED"/>
    <w:rsid w:val="00587296"/>
    <w:rsid w:val="00587473"/>
    <w:rsid w:val="00592A11"/>
    <w:rsid w:val="0059326B"/>
    <w:rsid w:val="005940D0"/>
    <w:rsid w:val="005A0954"/>
    <w:rsid w:val="005A0CCB"/>
    <w:rsid w:val="005A14CA"/>
    <w:rsid w:val="005A23D8"/>
    <w:rsid w:val="005A31AC"/>
    <w:rsid w:val="005A4D8F"/>
    <w:rsid w:val="005A5375"/>
    <w:rsid w:val="005A5DAC"/>
    <w:rsid w:val="005A61DB"/>
    <w:rsid w:val="005A79B2"/>
    <w:rsid w:val="005B071D"/>
    <w:rsid w:val="005B0B2C"/>
    <w:rsid w:val="005B114E"/>
    <w:rsid w:val="005B1BF6"/>
    <w:rsid w:val="005B1CFA"/>
    <w:rsid w:val="005B3408"/>
    <w:rsid w:val="005B3C81"/>
    <w:rsid w:val="005B507D"/>
    <w:rsid w:val="005B51E2"/>
    <w:rsid w:val="005B5826"/>
    <w:rsid w:val="005B6B52"/>
    <w:rsid w:val="005B7849"/>
    <w:rsid w:val="005C175A"/>
    <w:rsid w:val="005C200E"/>
    <w:rsid w:val="005C2615"/>
    <w:rsid w:val="005C319A"/>
    <w:rsid w:val="005C4EE6"/>
    <w:rsid w:val="005C5C4B"/>
    <w:rsid w:val="005C5CD7"/>
    <w:rsid w:val="005C6596"/>
    <w:rsid w:val="005C65F6"/>
    <w:rsid w:val="005C7125"/>
    <w:rsid w:val="005D0BD2"/>
    <w:rsid w:val="005D1159"/>
    <w:rsid w:val="005D1174"/>
    <w:rsid w:val="005D1EF1"/>
    <w:rsid w:val="005D24CD"/>
    <w:rsid w:val="005D2885"/>
    <w:rsid w:val="005D32BB"/>
    <w:rsid w:val="005D3866"/>
    <w:rsid w:val="005D395C"/>
    <w:rsid w:val="005D4186"/>
    <w:rsid w:val="005D4A7C"/>
    <w:rsid w:val="005D54C4"/>
    <w:rsid w:val="005D5A94"/>
    <w:rsid w:val="005D6BF7"/>
    <w:rsid w:val="005D7D9B"/>
    <w:rsid w:val="005E0646"/>
    <w:rsid w:val="005E180E"/>
    <w:rsid w:val="005E2739"/>
    <w:rsid w:val="005E446F"/>
    <w:rsid w:val="005E5417"/>
    <w:rsid w:val="005E60F8"/>
    <w:rsid w:val="005E71CA"/>
    <w:rsid w:val="005E7267"/>
    <w:rsid w:val="005E75B9"/>
    <w:rsid w:val="005F0338"/>
    <w:rsid w:val="005F1061"/>
    <w:rsid w:val="005F18D5"/>
    <w:rsid w:val="005F1BCE"/>
    <w:rsid w:val="005F403C"/>
    <w:rsid w:val="005F4915"/>
    <w:rsid w:val="005F4F4B"/>
    <w:rsid w:val="005F5733"/>
    <w:rsid w:val="005F5AA4"/>
    <w:rsid w:val="005F7958"/>
    <w:rsid w:val="00600952"/>
    <w:rsid w:val="00601BD4"/>
    <w:rsid w:val="0060291D"/>
    <w:rsid w:val="00603177"/>
    <w:rsid w:val="00603195"/>
    <w:rsid w:val="006031C8"/>
    <w:rsid w:val="0060599A"/>
    <w:rsid w:val="00606553"/>
    <w:rsid w:val="006072A1"/>
    <w:rsid w:val="00607A93"/>
    <w:rsid w:val="006102ED"/>
    <w:rsid w:val="0061090C"/>
    <w:rsid w:val="006109CB"/>
    <w:rsid w:val="00611797"/>
    <w:rsid w:val="00614E74"/>
    <w:rsid w:val="00615667"/>
    <w:rsid w:val="00615FC1"/>
    <w:rsid w:val="006161D6"/>
    <w:rsid w:val="00617579"/>
    <w:rsid w:val="006175A9"/>
    <w:rsid w:val="00617A76"/>
    <w:rsid w:val="00620064"/>
    <w:rsid w:val="006219D2"/>
    <w:rsid w:val="00621C7A"/>
    <w:rsid w:val="00622428"/>
    <w:rsid w:val="00622566"/>
    <w:rsid w:val="00622940"/>
    <w:rsid w:val="00622A11"/>
    <w:rsid w:val="006238CB"/>
    <w:rsid w:val="00623D10"/>
    <w:rsid w:val="00624362"/>
    <w:rsid w:val="00625961"/>
    <w:rsid w:val="006262C0"/>
    <w:rsid w:val="00626733"/>
    <w:rsid w:val="00627519"/>
    <w:rsid w:val="00630BB8"/>
    <w:rsid w:val="00631BF2"/>
    <w:rsid w:val="006326B1"/>
    <w:rsid w:val="00632B5E"/>
    <w:rsid w:val="00633210"/>
    <w:rsid w:val="0063377C"/>
    <w:rsid w:val="00633BE8"/>
    <w:rsid w:val="006375A2"/>
    <w:rsid w:val="00637EC4"/>
    <w:rsid w:val="00642E59"/>
    <w:rsid w:val="00643AA1"/>
    <w:rsid w:val="006446D4"/>
    <w:rsid w:val="006449B5"/>
    <w:rsid w:val="00644E51"/>
    <w:rsid w:val="00646010"/>
    <w:rsid w:val="0064640F"/>
    <w:rsid w:val="0065031F"/>
    <w:rsid w:val="00651268"/>
    <w:rsid w:val="00651DBA"/>
    <w:rsid w:val="00651E43"/>
    <w:rsid w:val="00652526"/>
    <w:rsid w:val="00652A28"/>
    <w:rsid w:val="00652DCA"/>
    <w:rsid w:val="006530C5"/>
    <w:rsid w:val="0065354A"/>
    <w:rsid w:val="00654B92"/>
    <w:rsid w:val="0065665C"/>
    <w:rsid w:val="006567E5"/>
    <w:rsid w:val="006569FD"/>
    <w:rsid w:val="00656A18"/>
    <w:rsid w:val="00656BF8"/>
    <w:rsid w:val="00656C3D"/>
    <w:rsid w:val="006601E4"/>
    <w:rsid w:val="006610CA"/>
    <w:rsid w:val="006610E0"/>
    <w:rsid w:val="0066327F"/>
    <w:rsid w:val="00663EB4"/>
    <w:rsid w:val="00664AA7"/>
    <w:rsid w:val="00665310"/>
    <w:rsid w:val="00666116"/>
    <w:rsid w:val="00666E2C"/>
    <w:rsid w:val="00666ECD"/>
    <w:rsid w:val="00666F16"/>
    <w:rsid w:val="0066764B"/>
    <w:rsid w:val="006678B8"/>
    <w:rsid w:val="006701F5"/>
    <w:rsid w:val="006701FD"/>
    <w:rsid w:val="0067305B"/>
    <w:rsid w:val="00673308"/>
    <w:rsid w:val="00673C3F"/>
    <w:rsid w:val="00674CE3"/>
    <w:rsid w:val="006762FF"/>
    <w:rsid w:val="00676BC9"/>
    <w:rsid w:val="006771C9"/>
    <w:rsid w:val="00677341"/>
    <w:rsid w:val="00677D7A"/>
    <w:rsid w:val="00677EB7"/>
    <w:rsid w:val="0068238E"/>
    <w:rsid w:val="006825E8"/>
    <w:rsid w:val="006847F9"/>
    <w:rsid w:val="006851D8"/>
    <w:rsid w:val="006864F4"/>
    <w:rsid w:val="00686732"/>
    <w:rsid w:val="00687085"/>
    <w:rsid w:val="00687764"/>
    <w:rsid w:val="00687933"/>
    <w:rsid w:val="00687A85"/>
    <w:rsid w:val="006901AC"/>
    <w:rsid w:val="0069020E"/>
    <w:rsid w:val="0069022C"/>
    <w:rsid w:val="00690632"/>
    <w:rsid w:val="0069146C"/>
    <w:rsid w:val="00691571"/>
    <w:rsid w:val="006916ED"/>
    <w:rsid w:val="00691FF1"/>
    <w:rsid w:val="006927D0"/>
    <w:rsid w:val="00693F5A"/>
    <w:rsid w:val="00694186"/>
    <w:rsid w:val="0069558B"/>
    <w:rsid w:val="00696068"/>
    <w:rsid w:val="006961D7"/>
    <w:rsid w:val="00696BDD"/>
    <w:rsid w:val="00697B3B"/>
    <w:rsid w:val="006A155E"/>
    <w:rsid w:val="006A1636"/>
    <w:rsid w:val="006A1F57"/>
    <w:rsid w:val="006A289F"/>
    <w:rsid w:val="006A347F"/>
    <w:rsid w:val="006A365B"/>
    <w:rsid w:val="006A3FDF"/>
    <w:rsid w:val="006A4999"/>
    <w:rsid w:val="006A4D72"/>
    <w:rsid w:val="006A4F69"/>
    <w:rsid w:val="006A5394"/>
    <w:rsid w:val="006A53CD"/>
    <w:rsid w:val="006A5474"/>
    <w:rsid w:val="006A5677"/>
    <w:rsid w:val="006A650D"/>
    <w:rsid w:val="006B0FB2"/>
    <w:rsid w:val="006B13C5"/>
    <w:rsid w:val="006B1C0A"/>
    <w:rsid w:val="006B2309"/>
    <w:rsid w:val="006B2F87"/>
    <w:rsid w:val="006B51D2"/>
    <w:rsid w:val="006B51FD"/>
    <w:rsid w:val="006B5ABB"/>
    <w:rsid w:val="006B616A"/>
    <w:rsid w:val="006B6AEF"/>
    <w:rsid w:val="006B713F"/>
    <w:rsid w:val="006B743D"/>
    <w:rsid w:val="006C0864"/>
    <w:rsid w:val="006C0CBB"/>
    <w:rsid w:val="006C2415"/>
    <w:rsid w:val="006C25BE"/>
    <w:rsid w:val="006C3746"/>
    <w:rsid w:val="006C588D"/>
    <w:rsid w:val="006C6087"/>
    <w:rsid w:val="006C68CD"/>
    <w:rsid w:val="006C70AC"/>
    <w:rsid w:val="006C7876"/>
    <w:rsid w:val="006D0ED1"/>
    <w:rsid w:val="006D1333"/>
    <w:rsid w:val="006D2558"/>
    <w:rsid w:val="006D27B9"/>
    <w:rsid w:val="006D35A2"/>
    <w:rsid w:val="006D45DE"/>
    <w:rsid w:val="006D4813"/>
    <w:rsid w:val="006D5DCF"/>
    <w:rsid w:val="006D78EA"/>
    <w:rsid w:val="006E1725"/>
    <w:rsid w:val="006E2328"/>
    <w:rsid w:val="006E426D"/>
    <w:rsid w:val="006E4988"/>
    <w:rsid w:val="006E4C22"/>
    <w:rsid w:val="006E618A"/>
    <w:rsid w:val="006E7707"/>
    <w:rsid w:val="006E78A6"/>
    <w:rsid w:val="006F2EF1"/>
    <w:rsid w:val="006F37BC"/>
    <w:rsid w:val="006F3A17"/>
    <w:rsid w:val="006F411B"/>
    <w:rsid w:val="006F433A"/>
    <w:rsid w:val="006F525F"/>
    <w:rsid w:val="006F5BFF"/>
    <w:rsid w:val="006F5D1D"/>
    <w:rsid w:val="006F6617"/>
    <w:rsid w:val="006F76C1"/>
    <w:rsid w:val="006F7C27"/>
    <w:rsid w:val="0070140F"/>
    <w:rsid w:val="007017E9"/>
    <w:rsid w:val="0070256A"/>
    <w:rsid w:val="007027E2"/>
    <w:rsid w:val="00703F9E"/>
    <w:rsid w:val="00704A85"/>
    <w:rsid w:val="00705670"/>
    <w:rsid w:val="00705BBA"/>
    <w:rsid w:val="00705F4E"/>
    <w:rsid w:val="00707B13"/>
    <w:rsid w:val="00710754"/>
    <w:rsid w:val="007108A4"/>
    <w:rsid w:val="0071226E"/>
    <w:rsid w:val="007134BB"/>
    <w:rsid w:val="00713F1C"/>
    <w:rsid w:val="00714DC9"/>
    <w:rsid w:val="00715697"/>
    <w:rsid w:val="00716083"/>
    <w:rsid w:val="007160A2"/>
    <w:rsid w:val="00716ACC"/>
    <w:rsid w:val="00717158"/>
    <w:rsid w:val="007206B2"/>
    <w:rsid w:val="00721779"/>
    <w:rsid w:val="007217FE"/>
    <w:rsid w:val="00723D30"/>
    <w:rsid w:val="00723E68"/>
    <w:rsid w:val="00724FCD"/>
    <w:rsid w:val="00726008"/>
    <w:rsid w:val="0072611F"/>
    <w:rsid w:val="007267E6"/>
    <w:rsid w:val="00727258"/>
    <w:rsid w:val="00732477"/>
    <w:rsid w:val="00732F7B"/>
    <w:rsid w:val="00733520"/>
    <w:rsid w:val="00733C60"/>
    <w:rsid w:val="0073402B"/>
    <w:rsid w:val="00734C92"/>
    <w:rsid w:val="00734CB0"/>
    <w:rsid w:val="00735EFA"/>
    <w:rsid w:val="00736B57"/>
    <w:rsid w:val="00736D23"/>
    <w:rsid w:val="0073743B"/>
    <w:rsid w:val="00737A83"/>
    <w:rsid w:val="00740F52"/>
    <w:rsid w:val="00741A87"/>
    <w:rsid w:val="0074266D"/>
    <w:rsid w:val="00742A91"/>
    <w:rsid w:val="007430FB"/>
    <w:rsid w:val="007433D5"/>
    <w:rsid w:val="007443CF"/>
    <w:rsid w:val="00744D05"/>
    <w:rsid w:val="0074513A"/>
    <w:rsid w:val="007455BA"/>
    <w:rsid w:val="00746B2E"/>
    <w:rsid w:val="007504F0"/>
    <w:rsid w:val="00750555"/>
    <w:rsid w:val="00750A07"/>
    <w:rsid w:val="00751447"/>
    <w:rsid w:val="007514AC"/>
    <w:rsid w:val="007517CF"/>
    <w:rsid w:val="00751A79"/>
    <w:rsid w:val="00752E05"/>
    <w:rsid w:val="007557C7"/>
    <w:rsid w:val="007561C8"/>
    <w:rsid w:val="00757F89"/>
    <w:rsid w:val="00760956"/>
    <w:rsid w:val="0076138B"/>
    <w:rsid w:val="00763622"/>
    <w:rsid w:val="0076533C"/>
    <w:rsid w:val="007656A5"/>
    <w:rsid w:val="00765CDD"/>
    <w:rsid w:val="00766CCF"/>
    <w:rsid w:val="00771470"/>
    <w:rsid w:val="00771D81"/>
    <w:rsid w:val="0077202C"/>
    <w:rsid w:val="007722DA"/>
    <w:rsid w:val="00772389"/>
    <w:rsid w:val="007726B8"/>
    <w:rsid w:val="007727CD"/>
    <w:rsid w:val="0077321D"/>
    <w:rsid w:val="007740D8"/>
    <w:rsid w:val="00775E3C"/>
    <w:rsid w:val="00777788"/>
    <w:rsid w:val="007777AF"/>
    <w:rsid w:val="00777D02"/>
    <w:rsid w:val="0078117E"/>
    <w:rsid w:val="00783D56"/>
    <w:rsid w:val="0078452E"/>
    <w:rsid w:val="0078588B"/>
    <w:rsid w:val="00785ED0"/>
    <w:rsid w:val="00786100"/>
    <w:rsid w:val="007867E3"/>
    <w:rsid w:val="007869C7"/>
    <w:rsid w:val="00786B6F"/>
    <w:rsid w:val="00787A81"/>
    <w:rsid w:val="00787B07"/>
    <w:rsid w:val="00790073"/>
    <w:rsid w:val="007911A4"/>
    <w:rsid w:val="00792BF2"/>
    <w:rsid w:val="00793E7B"/>
    <w:rsid w:val="00796280"/>
    <w:rsid w:val="00797411"/>
    <w:rsid w:val="0079B680"/>
    <w:rsid w:val="007A06B0"/>
    <w:rsid w:val="007A0B1C"/>
    <w:rsid w:val="007A0E8D"/>
    <w:rsid w:val="007A12FA"/>
    <w:rsid w:val="007A14C6"/>
    <w:rsid w:val="007A1A75"/>
    <w:rsid w:val="007A285A"/>
    <w:rsid w:val="007A28C5"/>
    <w:rsid w:val="007A3035"/>
    <w:rsid w:val="007A3193"/>
    <w:rsid w:val="007A3465"/>
    <w:rsid w:val="007A3F36"/>
    <w:rsid w:val="007A42F6"/>
    <w:rsid w:val="007A49EA"/>
    <w:rsid w:val="007A6EED"/>
    <w:rsid w:val="007A7200"/>
    <w:rsid w:val="007A7951"/>
    <w:rsid w:val="007B07EA"/>
    <w:rsid w:val="007B0CFA"/>
    <w:rsid w:val="007B0F5D"/>
    <w:rsid w:val="007B1F18"/>
    <w:rsid w:val="007B3459"/>
    <w:rsid w:val="007B373B"/>
    <w:rsid w:val="007B3DCC"/>
    <w:rsid w:val="007B491F"/>
    <w:rsid w:val="007B4AAC"/>
    <w:rsid w:val="007B50D6"/>
    <w:rsid w:val="007B540F"/>
    <w:rsid w:val="007B68DC"/>
    <w:rsid w:val="007C259B"/>
    <w:rsid w:val="007C378C"/>
    <w:rsid w:val="007C38AE"/>
    <w:rsid w:val="007C3C2D"/>
    <w:rsid w:val="007C3D76"/>
    <w:rsid w:val="007C4173"/>
    <w:rsid w:val="007C43DA"/>
    <w:rsid w:val="007C5126"/>
    <w:rsid w:val="007C57B0"/>
    <w:rsid w:val="007C5AE2"/>
    <w:rsid w:val="007C60A4"/>
    <w:rsid w:val="007C697A"/>
    <w:rsid w:val="007C71CC"/>
    <w:rsid w:val="007D014D"/>
    <w:rsid w:val="007D0DAD"/>
    <w:rsid w:val="007D10EA"/>
    <w:rsid w:val="007D126A"/>
    <w:rsid w:val="007D1EC9"/>
    <w:rsid w:val="007D3652"/>
    <w:rsid w:val="007D3EF4"/>
    <w:rsid w:val="007D4165"/>
    <w:rsid w:val="007D468C"/>
    <w:rsid w:val="007D4893"/>
    <w:rsid w:val="007D4E21"/>
    <w:rsid w:val="007D6B7B"/>
    <w:rsid w:val="007D7B8A"/>
    <w:rsid w:val="007E0799"/>
    <w:rsid w:val="007E125B"/>
    <w:rsid w:val="007E1AB5"/>
    <w:rsid w:val="007E1B9D"/>
    <w:rsid w:val="007E213B"/>
    <w:rsid w:val="007E2194"/>
    <w:rsid w:val="007E3979"/>
    <w:rsid w:val="007E4407"/>
    <w:rsid w:val="007E497E"/>
    <w:rsid w:val="007E5825"/>
    <w:rsid w:val="007E6161"/>
    <w:rsid w:val="007E68C6"/>
    <w:rsid w:val="007E6AF8"/>
    <w:rsid w:val="007E7153"/>
    <w:rsid w:val="007F0A0C"/>
    <w:rsid w:val="007F2387"/>
    <w:rsid w:val="007F2A80"/>
    <w:rsid w:val="007F641D"/>
    <w:rsid w:val="007F6EE2"/>
    <w:rsid w:val="00800095"/>
    <w:rsid w:val="008003FB"/>
    <w:rsid w:val="00800619"/>
    <w:rsid w:val="00800845"/>
    <w:rsid w:val="00801AAF"/>
    <w:rsid w:val="00803C61"/>
    <w:rsid w:val="0080496D"/>
    <w:rsid w:val="0080515F"/>
    <w:rsid w:val="008057A1"/>
    <w:rsid w:val="00806876"/>
    <w:rsid w:val="008074D1"/>
    <w:rsid w:val="0080776B"/>
    <w:rsid w:val="00810324"/>
    <w:rsid w:val="00810EEF"/>
    <w:rsid w:val="00814409"/>
    <w:rsid w:val="008171D5"/>
    <w:rsid w:val="00817C3B"/>
    <w:rsid w:val="0082058A"/>
    <w:rsid w:val="008216CA"/>
    <w:rsid w:val="0082196E"/>
    <w:rsid w:val="00821D19"/>
    <w:rsid w:val="00822087"/>
    <w:rsid w:val="0082255D"/>
    <w:rsid w:val="0082278D"/>
    <w:rsid w:val="008237D4"/>
    <w:rsid w:val="00824387"/>
    <w:rsid w:val="00825A58"/>
    <w:rsid w:val="00825B80"/>
    <w:rsid w:val="00825F2A"/>
    <w:rsid w:val="008260EB"/>
    <w:rsid w:val="008266F2"/>
    <w:rsid w:val="00827105"/>
    <w:rsid w:val="00830A73"/>
    <w:rsid w:val="00831483"/>
    <w:rsid w:val="00831CD4"/>
    <w:rsid w:val="00831D16"/>
    <w:rsid w:val="0083277B"/>
    <w:rsid w:val="008334D7"/>
    <w:rsid w:val="00833AEE"/>
    <w:rsid w:val="00833AFA"/>
    <w:rsid w:val="00834E8B"/>
    <w:rsid w:val="00836818"/>
    <w:rsid w:val="008373E4"/>
    <w:rsid w:val="00840F0E"/>
    <w:rsid w:val="00840F9F"/>
    <w:rsid w:val="0084144E"/>
    <w:rsid w:val="00841490"/>
    <w:rsid w:val="00841975"/>
    <w:rsid w:val="00841AC5"/>
    <w:rsid w:val="0084379E"/>
    <w:rsid w:val="00844F0D"/>
    <w:rsid w:val="00845E2A"/>
    <w:rsid w:val="00845F5B"/>
    <w:rsid w:val="008460AC"/>
    <w:rsid w:val="00847C09"/>
    <w:rsid w:val="00850748"/>
    <w:rsid w:val="00851622"/>
    <w:rsid w:val="008516B8"/>
    <w:rsid w:val="00851702"/>
    <w:rsid w:val="00853ADD"/>
    <w:rsid w:val="00853E72"/>
    <w:rsid w:val="008545B4"/>
    <w:rsid w:val="008570AE"/>
    <w:rsid w:val="0086022C"/>
    <w:rsid w:val="00860971"/>
    <w:rsid w:val="00860B8B"/>
    <w:rsid w:val="00861811"/>
    <w:rsid w:val="00862896"/>
    <w:rsid w:val="00862998"/>
    <w:rsid w:val="00863669"/>
    <w:rsid w:val="00863DAC"/>
    <w:rsid w:val="00864D6E"/>
    <w:rsid w:val="0086511A"/>
    <w:rsid w:val="008651FC"/>
    <w:rsid w:val="008660F1"/>
    <w:rsid w:val="0086662E"/>
    <w:rsid w:val="00866E7B"/>
    <w:rsid w:val="0087109E"/>
    <w:rsid w:val="0087161B"/>
    <w:rsid w:val="0087277D"/>
    <w:rsid w:val="00874FDB"/>
    <w:rsid w:val="00875B81"/>
    <w:rsid w:val="00876862"/>
    <w:rsid w:val="008774C1"/>
    <w:rsid w:val="00880A91"/>
    <w:rsid w:val="00881BD1"/>
    <w:rsid w:val="00882053"/>
    <w:rsid w:val="0089076C"/>
    <w:rsid w:val="00890B5E"/>
    <w:rsid w:val="00890B9E"/>
    <w:rsid w:val="00890D29"/>
    <w:rsid w:val="00891413"/>
    <w:rsid w:val="00891F3A"/>
    <w:rsid w:val="00891FD5"/>
    <w:rsid w:val="00892831"/>
    <w:rsid w:val="00893B8B"/>
    <w:rsid w:val="008957D0"/>
    <w:rsid w:val="00896954"/>
    <w:rsid w:val="00896E9D"/>
    <w:rsid w:val="008971FB"/>
    <w:rsid w:val="008A05DB"/>
    <w:rsid w:val="008A1772"/>
    <w:rsid w:val="008A1E34"/>
    <w:rsid w:val="008A2B27"/>
    <w:rsid w:val="008A2EC9"/>
    <w:rsid w:val="008A3534"/>
    <w:rsid w:val="008A36C2"/>
    <w:rsid w:val="008A3A36"/>
    <w:rsid w:val="008A4030"/>
    <w:rsid w:val="008A4F13"/>
    <w:rsid w:val="008A5519"/>
    <w:rsid w:val="008A5CC3"/>
    <w:rsid w:val="008B02F1"/>
    <w:rsid w:val="008B073A"/>
    <w:rsid w:val="008B1427"/>
    <w:rsid w:val="008B22F2"/>
    <w:rsid w:val="008B3600"/>
    <w:rsid w:val="008B451E"/>
    <w:rsid w:val="008B457C"/>
    <w:rsid w:val="008B46FF"/>
    <w:rsid w:val="008B4807"/>
    <w:rsid w:val="008B487D"/>
    <w:rsid w:val="008B5198"/>
    <w:rsid w:val="008B5D09"/>
    <w:rsid w:val="008B6353"/>
    <w:rsid w:val="008B6FB7"/>
    <w:rsid w:val="008C25E9"/>
    <w:rsid w:val="008C396E"/>
    <w:rsid w:val="008C4141"/>
    <w:rsid w:val="008C4704"/>
    <w:rsid w:val="008C784D"/>
    <w:rsid w:val="008D0408"/>
    <w:rsid w:val="008D06C1"/>
    <w:rsid w:val="008D16E7"/>
    <w:rsid w:val="008D1C83"/>
    <w:rsid w:val="008D27FD"/>
    <w:rsid w:val="008D2AC6"/>
    <w:rsid w:val="008D36B4"/>
    <w:rsid w:val="008D5C6D"/>
    <w:rsid w:val="008D62E9"/>
    <w:rsid w:val="008E0697"/>
    <w:rsid w:val="008E1C79"/>
    <w:rsid w:val="008E271D"/>
    <w:rsid w:val="008E390C"/>
    <w:rsid w:val="008E68C1"/>
    <w:rsid w:val="008E68D5"/>
    <w:rsid w:val="008E708D"/>
    <w:rsid w:val="008E7879"/>
    <w:rsid w:val="008E7B12"/>
    <w:rsid w:val="008F0EAD"/>
    <w:rsid w:val="008F0F27"/>
    <w:rsid w:val="008F1768"/>
    <w:rsid w:val="008F28A7"/>
    <w:rsid w:val="008F31B3"/>
    <w:rsid w:val="008F37C1"/>
    <w:rsid w:val="008F3C70"/>
    <w:rsid w:val="008F4370"/>
    <w:rsid w:val="008F4D89"/>
    <w:rsid w:val="008F4E92"/>
    <w:rsid w:val="008F4F65"/>
    <w:rsid w:val="008F62BE"/>
    <w:rsid w:val="008F6309"/>
    <w:rsid w:val="008F6403"/>
    <w:rsid w:val="008F69BB"/>
    <w:rsid w:val="008F77F2"/>
    <w:rsid w:val="00902AE7"/>
    <w:rsid w:val="00903710"/>
    <w:rsid w:val="00903CEF"/>
    <w:rsid w:val="00903D27"/>
    <w:rsid w:val="00904CB8"/>
    <w:rsid w:val="00905214"/>
    <w:rsid w:val="009054EC"/>
    <w:rsid w:val="00906241"/>
    <w:rsid w:val="00907130"/>
    <w:rsid w:val="009102AC"/>
    <w:rsid w:val="00910FC7"/>
    <w:rsid w:val="009116B6"/>
    <w:rsid w:val="009129A9"/>
    <w:rsid w:val="00912EF4"/>
    <w:rsid w:val="00913BDD"/>
    <w:rsid w:val="00913D5D"/>
    <w:rsid w:val="009144E2"/>
    <w:rsid w:val="00914FD8"/>
    <w:rsid w:val="009152B2"/>
    <w:rsid w:val="00915A0E"/>
    <w:rsid w:val="00915CC4"/>
    <w:rsid w:val="00917BAF"/>
    <w:rsid w:val="00920547"/>
    <w:rsid w:val="00920CFD"/>
    <w:rsid w:val="0092133E"/>
    <w:rsid w:val="00921D0C"/>
    <w:rsid w:val="009250F8"/>
    <w:rsid w:val="0092536F"/>
    <w:rsid w:val="009257A1"/>
    <w:rsid w:val="00925F68"/>
    <w:rsid w:val="009275C8"/>
    <w:rsid w:val="0093176E"/>
    <w:rsid w:val="009324AE"/>
    <w:rsid w:val="00933152"/>
    <w:rsid w:val="009340E2"/>
    <w:rsid w:val="009351CB"/>
    <w:rsid w:val="0093567A"/>
    <w:rsid w:val="00936E0B"/>
    <w:rsid w:val="00940E97"/>
    <w:rsid w:val="00942D1D"/>
    <w:rsid w:val="00942F03"/>
    <w:rsid w:val="00943421"/>
    <w:rsid w:val="00945ECE"/>
    <w:rsid w:val="00946D60"/>
    <w:rsid w:val="00947206"/>
    <w:rsid w:val="00947286"/>
    <w:rsid w:val="0094764A"/>
    <w:rsid w:val="00950C8E"/>
    <w:rsid w:val="00951127"/>
    <w:rsid w:val="00952604"/>
    <w:rsid w:val="00952782"/>
    <w:rsid w:val="0095299F"/>
    <w:rsid w:val="0095308E"/>
    <w:rsid w:val="00953E63"/>
    <w:rsid w:val="009542DD"/>
    <w:rsid w:val="00954339"/>
    <w:rsid w:val="00954943"/>
    <w:rsid w:val="00954CF2"/>
    <w:rsid w:val="00954EA8"/>
    <w:rsid w:val="00956147"/>
    <w:rsid w:val="009564E9"/>
    <w:rsid w:val="00956D94"/>
    <w:rsid w:val="00957674"/>
    <w:rsid w:val="00957801"/>
    <w:rsid w:val="00960115"/>
    <w:rsid w:val="00960AF9"/>
    <w:rsid w:val="00960F3B"/>
    <w:rsid w:val="00960FAA"/>
    <w:rsid w:val="00962347"/>
    <w:rsid w:val="00962628"/>
    <w:rsid w:val="00962E37"/>
    <w:rsid w:val="0096328C"/>
    <w:rsid w:val="009639D4"/>
    <w:rsid w:val="009650F7"/>
    <w:rsid w:val="009656AD"/>
    <w:rsid w:val="0096670A"/>
    <w:rsid w:val="009679CA"/>
    <w:rsid w:val="00970073"/>
    <w:rsid w:val="009706B4"/>
    <w:rsid w:val="0097071B"/>
    <w:rsid w:val="009723AB"/>
    <w:rsid w:val="00972F82"/>
    <w:rsid w:val="009733A7"/>
    <w:rsid w:val="009734C8"/>
    <w:rsid w:val="00973DA1"/>
    <w:rsid w:val="009742A8"/>
    <w:rsid w:val="009763B0"/>
    <w:rsid w:val="00976D11"/>
    <w:rsid w:val="00977A28"/>
    <w:rsid w:val="00980B68"/>
    <w:rsid w:val="009812E1"/>
    <w:rsid w:val="0098174C"/>
    <w:rsid w:val="00981FFE"/>
    <w:rsid w:val="009822A2"/>
    <w:rsid w:val="009826CA"/>
    <w:rsid w:val="00982AE8"/>
    <w:rsid w:val="0098316A"/>
    <w:rsid w:val="009835E2"/>
    <w:rsid w:val="00983F0B"/>
    <w:rsid w:val="0098438E"/>
    <w:rsid w:val="0098443C"/>
    <w:rsid w:val="00984C73"/>
    <w:rsid w:val="00984E97"/>
    <w:rsid w:val="00984F3F"/>
    <w:rsid w:val="009859D3"/>
    <w:rsid w:val="00987DF6"/>
    <w:rsid w:val="00990470"/>
    <w:rsid w:val="00990512"/>
    <w:rsid w:val="00990AE3"/>
    <w:rsid w:val="00991D6F"/>
    <w:rsid w:val="009925D4"/>
    <w:rsid w:val="00992865"/>
    <w:rsid w:val="009928CD"/>
    <w:rsid w:val="00992DAD"/>
    <w:rsid w:val="009938A2"/>
    <w:rsid w:val="00994663"/>
    <w:rsid w:val="00996710"/>
    <w:rsid w:val="009967C7"/>
    <w:rsid w:val="00997096"/>
    <w:rsid w:val="00997A37"/>
    <w:rsid w:val="009A0200"/>
    <w:rsid w:val="009A193B"/>
    <w:rsid w:val="009A1DF6"/>
    <w:rsid w:val="009A1FF8"/>
    <w:rsid w:val="009A4A2C"/>
    <w:rsid w:val="009A5BAF"/>
    <w:rsid w:val="009A63F7"/>
    <w:rsid w:val="009A6A58"/>
    <w:rsid w:val="009A6EF6"/>
    <w:rsid w:val="009B0B20"/>
    <w:rsid w:val="009B185A"/>
    <w:rsid w:val="009B1F2A"/>
    <w:rsid w:val="009B3EAF"/>
    <w:rsid w:val="009B409B"/>
    <w:rsid w:val="009B4BB0"/>
    <w:rsid w:val="009B4C27"/>
    <w:rsid w:val="009C036C"/>
    <w:rsid w:val="009C0900"/>
    <w:rsid w:val="009C19A4"/>
    <w:rsid w:val="009C21AE"/>
    <w:rsid w:val="009C2546"/>
    <w:rsid w:val="009C353A"/>
    <w:rsid w:val="009C3BA4"/>
    <w:rsid w:val="009C4FB7"/>
    <w:rsid w:val="009C6E1A"/>
    <w:rsid w:val="009C6EDD"/>
    <w:rsid w:val="009C6EDF"/>
    <w:rsid w:val="009C772B"/>
    <w:rsid w:val="009C7B78"/>
    <w:rsid w:val="009D02AC"/>
    <w:rsid w:val="009D0C01"/>
    <w:rsid w:val="009D1177"/>
    <w:rsid w:val="009D1CA8"/>
    <w:rsid w:val="009D2043"/>
    <w:rsid w:val="009D2EE1"/>
    <w:rsid w:val="009D3700"/>
    <w:rsid w:val="009D38F3"/>
    <w:rsid w:val="009D5229"/>
    <w:rsid w:val="009D6672"/>
    <w:rsid w:val="009D7090"/>
    <w:rsid w:val="009D749A"/>
    <w:rsid w:val="009E067E"/>
    <w:rsid w:val="009E2733"/>
    <w:rsid w:val="009E3BB5"/>
    <w:rsid w:val="009E4A56"/>
    <w:rsid w:val="009E4D8D"/>
    <w:rsid w:val="009E529C"/>
    <w:rsid w:val="009E54AD"/>
    <w:rsid w:val="009E5587"/>
    <w:rsid w:val="009E563C"/>
    <w:rsid w:val="009E6248"/>
    <w:rsid w:val="009E7991"/>
    <w:rsid w:val="009E84BA"/>
    <w:rsid w:val="009F0855"/>
    <w:rsid w:val="009F1933"/>
    <w:rsid w:val="009F2D68"/>
    <w:rsid w:val="009F4D31"/>
    <w:rsid w:val="009F4E58"/>
    <w:rsid w:val="009F4FE3"/>
    <w:rsid w:val="009F5BF8"/>
    <w:rsid w:val="009F656F"/>
    <w:rsid w:val="009F6E91"/>
    <w:rsid w:val="009F7984"/>
    <w:rsid w:val="009F7D08"/>
    <w:rsid w:val="00A01792"/>
    <w:rsid w:val="00A017DD"/>
    <w:rsid w:val="00A02898"/>
    <w:rsid w:val="00A03D15"/>
    <w:rsid w:val="00A03EB4"/>
    <w:rsid w:val="00A04256"/>
    <w:rsid w:val="00A04BC7"/>
    <w:rsid w:val="00A04D3F"/>
    <w:rsid w:val="00A0596A"/>
    <w:rsid w:val="00A05A59"/>
    <w:rsid w:val="00A05EB7"/>
    <w:rsid w:val="00A0733A"/>
    <w:rsid w:val="00A076F4"/>
    <w:rsid w:val="00A07A7D"/>
    <w:rsid w:val="00A10A27"/>
    <w:rsid w:val="00A10EC9"/>
    <w:rsid w:val="00A11DDB"/>
    <w:rsid w:val="00A12238"/>
    <w:rsid w:val="00A126B3"/>
    <w:rsid w:val="00A1353A"/>
    <w:rsid w:val="00A136BD"/>
    <w:rsid w:val="00A14020"/>
    <w:rsid w:val="00A14624"/>
    <w:rsid w:val="00A14A63"/>
    <w:rsid w:val="00A15CCB"/>
    <w:rsid w:val="00A16E96"/>
    <w:rsid w:val="00A21883"/>
    <w:rsid w:val="00A21E50"/>
    <w:rsid w:val="00A228C5"/>
    <w:rsid w:val="00A234FF"/>
    <w:rsid w:val="00A23A56"/>
    <w:rsid w:val="00A23EA8"/>
    <w:rsid w:val="00A23EFC"/>
    <w:rsid w:val="00A2404E"/>
    <w:rsid w:val="00A25BFB"/>
    <w:rsid w:val="00A25F21"/>
    <w:rsid w:val="00A26760"/>
    <w:rsid w:val="00A278DE"/>
    <w:rsid w:val="00A27F88"/>
    <w:rsid w:val="00A30837"/>
    <w:rsid w:val="00A30E5D"/>
    <w:rsid w:val="00A3108E"/>
    <w:rsid w:val="00A31433"/>
    <w:rsid w:val="00A328E1"/>
    <w:rsid w:val="00A34EC0"/>
    <w:rsid w:val="00A361A3"/>
    <w:rsid w:val="00A36431"/>
    <w:rsid w:val="00A367B5"/>
    <w:rsid w:val="00A36E80"/>
    <w:rsid w:val="00A37521"/>
    <w:rsid w:val="00A400C6"/>
    <w:rsid w:val="00A40607"/>
    <w:rsid w:val="00A40780"/>
    <w:rsid w:val="00A415AD"/>
    <w:rsid w:val="00A42D18"/>
    <w:rsid w:val="00A45F1D"/>
    <w:rsid w:val="00A465F4"/>
    <w:rsid w:val="00A46A92"/>
    <w:rsid w:val="00A477E0"/>
    <w:rsid w:val="00A47BB6"/>
    <w:rsid w:val="00A50838"/>
    <w:rsid w:val="00A50931"/>
    <w:rsid w:val="00A50957"/>
    <w:rsid w:val="00A510E7"/>
    <w:rsid w:val="00A519ED"/>
    <w:rsid w:val="00A520BC"/>
    <w:rsid w:val="00A52EF5"/>
    <w:rsid w:val="00A53EDB"/>
    <w:rsid w:val="00A55866"/>
    <w:rsid w:val="00A55A73"/>
    <w:rsid w:val="00A56FC4"/>
    <w:rsid w:val="00A579F2"/>
    <w:rsid w:val="00A57BB0"/>
    <w:rsid w:val="00A60379"/>
    <w:rsid w:val="00A60D93"/>
    <w:rsid w:val="00A6281D"/>
    <w:rsid w:val="00A62862"/>
    <w:rsid w:val="00A62F0D"/>
    <w:rsid w:val="00A6465F"/>
    <w:rsid w:val="00A65125"/>
    <w:rsid w:val="00A667A5"/>
    <w:rsid w:val="00A6722F"/>
    <w:rsid w:val="00A67906"/>
    <w:rsid w:val="00A67E33"/>
    <w:rsid w:val="00A70F1D"/>
    <w:rsid w:val="00A718DC"/>
    <w:rsid w:val="00A73D45"/>
    <w:rsid w:val="00A73F26"/>
    <w:rsid w:val="00A74358"/>
    <w:rsid w:val="00A74E07"/>
    <w:rsid w:val="00A75420"/>
    <w:rsid w:val="00A7741F"/>
    <w:rsid w:val="00A7769C"/>
    <w:rsid w:val="00A77C1B"/>
    <w:rsid w:val="00A814D8"/>
    <w:rsid w:val="00A81D64"/>
    <w:rsid w:val="00A829D9"/>
    <w:rsid w:val="00A83314"/>
    <w:rsid w:val="00A8414C"/>
    <w:rsid w:val="00A843E3"/>
    <w:rsid w:val="00A84539"/>
    <w:rsid w:val="00A86D5D"/>
    <w:rsid w:val="00A87F59"/>
    <w:rsid w:val="00A915D2"/>
    <w:rsid w:val="00A917A5"/>
    <w:rsid w:val="00A91BC3"/>
    <w:rsid w:val="00A91CF2"/>
    <w:rsid w:val="00A931AC"/>
    <w:rsid w:val="00A9365A"/>
    <w:rsid w:val="00A9394A"/>
    <w:rsid w:val="00A93A0D"/>
    <w:rsid w:val="00A942CB"/>
    <w:rsid w:val="00A94A8B"/>
    <w:rsid w:val="00A953C2"/>
    <w:rsid w:val="00A95E98"/>
    <w:rsid w:val="00A9652C"/>
    <w:rsid w:val="00A97137"/>
    <w:rsid w:val="00A97673"/>
    <w:rsid w:val="00A979D0"/>
    <w:rsid w:val="00AA0B25"/>
    <w:rsid w:val="00AA1B47"/>
    <w:rsid w:val="00AA2849"/>
    <w:rsid w:val="00AA3E85"/>
    <w:rsid w:val="00AA424E"/>
    <w:rsid w:val="00AA5FD2"/>
    <w:rsid w:val="00AA6ED2"/>
    <w:rsid w:val="00AA7DD5"/>
    <w:rsid w:val="00AB00E4"/>
    <w:rsid w:val="00AB0B44"/>
    <w:rsid w:val="00AB0D72"/>
    <w:rsid w:val="00AB0E1B"/>
    <w:rsid w:val="00AB2FAB"/>
    <w:rsid w:val="00AB3576"/>
    <w:rsid w:val="00AB5826"/>
    <w:rsid w:val="00AB59AD"/>
    <w:rsid w:val="00AB5BDD"/>
    <w:rsid w:val="00AB5F65"/>
    <w:rsid w:val="00AB65DC"/>
    <w:rsid w:val="00AC2365"/>
    <w:rsid w:val="00AC2BD3"/>
    <w:rsid w:val="00AC2D48"/>
    <w:rsid w:val="00AC3768"/>
    <w:rsid w:val="00AC438C"/>
    <w:rsid w:val="00AC68B7"/>
    <w:rsid w:val="00AD1EFF"/>
    <w:rsid w:val="00AD22BA"/>
    <w:rsid w:val="00AD4294"/>
    <w:rsid w:val="00AD5113"/>
    <w:rsid w:val="00AD55B9"/>
    <w:rsid w:val="00AD56A0"/>
    <w:rsid w:val="00AD65D0"/>
    <w:rsid w:val="00AD66F8"/>
    <w:rsid w:val="00AE0CB5"/>
    <w:rsid w:val="00AE10A8"/>
    <w:rsid w:val="00AE1CCF"/>
    <w:rsid w:val="00AE3334"/>
    <w:rsid w:val="00AE46D6"/>
    <w:rsid w:val="00AE5934"/>
    <w:rsid w:val="00AE5F84"/>
    <w:rsid w:val="00AE78EF"/>
    <w:rsid w:val="00AF0287"/>
    <w:rsid w:val="00AF0A84"/>
    <w:rsid w:val="00AF10BC"/>
    <w:rsid w:val="00AF1411"/>
    <w:rsid w:val="00AF1887"/>
    <w:rsid w:val="00AF21A0"/>
    <w:rsid w:val="00AF3122"/>
    <w:rsid w:val="00AF3449"/>
    <w:rsid w:val="00AF40FB"/>
    <w:rsid w:val="00AF430F"/>
    <w:rsid w:val="00AF51AB"/>
    <w:rsid w:val="00AF59AC"/>
    <w:rsid w:val="00AF5A6A"/>
    <w:rsid w:val="00AF6E02"/>
    <w:rsid w:val="00AF6E4A"/>
    <w:rsid w:val="00AF708F"/>
    <w:rsid w:val="00AF72F8"/>
    <w:rsid w:val="00AF7567"/>
    <w:rsid w:val="00AF7B85"/>
    <w:rsid w:val="00B005AC"/>
    <w:rsid w:val="00B024CD"/>
    <w:rsid w:val="00B03BFE"/>
    <w:rsid w:val="00B044E0"/>
    <w:rsid w:val="00B05183"/>
    <w:rsid w:val="00B074E2"/>
    <w:rsid w:val="00B07D66"/>
    <w:rsid w:val="00B10F7C"/>
    <w:rsid w:val="00B110A2"/>
    <w:rsid w:val="00B140AB"/>
    <w:rsid w:val="00B14822"/>
    <w:rsid w:val="00B15F11"/>
    <w:rsid w:val="00B165CC"/>
    <w:rsid w:val="00B175ED"/>
    <w:rsid w:val="00B20295"/>
    <w:rsid w:val="00B24369"/>
    <w:rsid w:val="00B24BE7"/>
    <w:rsid w:val="00B25D4D"/>
    <w:rsid w:val="00B265A6"/>
    <w:rsid w:val="00B265F2"/>
    <w:rsid w:val="00B267FA"/>
    <w:rsid w:val="00B270C6"/>
    <w:rsid w:val="00B2787E"/>
    <w:rsid w:val="00B27D4C"/>
    <w:rsid w:val="00B30A06"/>
    <w:rsid w:val="00B31F96"/>
    <w:rsid w:val="00B3311E"/>
    <w:rsid w:val="00B332B8"/>
    <w:rsid w:val="00B339E5"/>
    <w:rsid w:val="00B3427D"/>
    <w:rsid w:val="00B36570"/>
    <w:rsid w:val="00B36AC7"/>
    <w:rsid w:val="00B36F67"/>
    <w:rsid w:val="00B37140"/>
    <w:rsid w:val="00B40274"/>
    <w:rsid w:val="00B4032D"/>
    <w:rsid w:val="00B40AC2"/>
    <w:rsid w:val="00B4134F"/>
    <w:rsid w:val="00B417EA"/>
    <w:rsid w:val="00B41DD4"/>
    <w:rsid w:val="00B42560"/>
    <w:rsid w:val="00B438B7"/>
    <w:rsid w:val="00B43BAC"/>
    <w:rsid w:val="00B446D7"/>
    <w:rsid w:val="00B44923"/>
    <w:rsid w:val="00B4566E"/>
    <w:rsid w:val="00B45D6D"/>
    <w:rsid w:val="00B45F72"/>
    <w:rsid w:val="00B46B34"/>
    <w:rsid w:val="00B47B09"/>
    <w:rsid w:val="00B504ED"/>
    <w:rsid w:val="00B5075F"/>
    <w:rsid w:val="00B511CF"/>
    <w:rsid w:val="00B51A2F"/>
    <w:rsid w:val="00B51CC2"/>
    <w:rsid w:val="00B52F34"/>
    <w:rsid w:val="00B535B7"/>
    <w:rsid w:val="00B53C87"/>
    <w:rsid w:val="00B53E6A"/>
    <w:rsid w:val="00B53F47"/>
    <w:rsid w:val="00B54C93"/>
    <w:rsid w:val="00B55B04"/>
    <w:rsid w:val="00B55FC3"/>
    <w:rsid w:val="00B56479"/>
    <w:rsid w:val="00B57CB0"/>
    <w:rsid w:val="00B608A3"/>
    <w:rsid w:val="00B61288"/>
    <w:rsid w:val="00B61477"/>
    <w:rsid w:val="00B623AD"/>
    <w:rsid w:val="00B640BF"/>
    <w:rsid w:val="00B643DE"/>
    <w:rsid w:val="00B6461B"/>
    <w:rsid w:val="00B654A3"/>
    <w:rsid w:val="00B659CC"/>
    <w:rsid w:val="00B65F02"/>
    <w:rsid w:val="00B663AC"/>
    <w:rsid w:val="00B666A4"/>
    <w:rsid w:val="00B66A42"/>
    <w:rsid w:val="00B70089"/>
    <w:rsid w:val="00B72A4B"/>
    <w:rsid w:val="00B760A0"/>
    <w:rsid w:val="00B76728"/>
    <w:rsid w:val="00B77264"/>
    <w:rsid w:val="00B7729C"/>
    <w:rsid w:val="00B776D5"/>
    <w:rsid w:val="00B80D95"/>
    <w:rsid w:val="00B813D9"/>
    <w:rsid w:val="00B84505"/>
    <w:rsid w:val="00B846D1"/>
    <w:rsid w:val="00B852DC"/>
    <w:rsid w:val="00B85BED"/>
    <w:rsid w:val="00B86A34"/>
    <w:rsid w:val="00B86AAA"/>
    <w:rsid w:val="00B87AAB"/>
    <w:rsid w:val="00B90234"/>
    <w:rsid w:val="00B916BA"/>
    <w:rsid w:val="00B9296E"/>
    <w:rsid w:val="00B92F73"/>
    <w:rsid w:val="00B93C30"/>
    <w:rsid w:val="00B9445A"/>
    <w:rsid w:val="00B94D24"/>
    <w:rsid w:val="00B9566C"/>
    <w:rsid w:val="00B96BE9"/>
    <w:rsid w:val="00B96C2C"/>
    <w:rsid w:val="00B96D8C"/>
    <w:rsid w:val="00B973BB"/>
    <w:rsid w:val="00B9770D"/>
    <w:rsid w:val="00BA0B74"/>
    <w:rsid w:val="00BA1050"/>
    <w:rsid w:val="00BA1580"/>
    <w:rsid w:val="00BA276C"/>
    <w:rsid w:val="00BA39B8"/>
    <w:rsid w:val="00BA3FDC"/>
    <w:rsid w:val="00BA46E0"/>
    <w:rsid w:val="00BA4710"/>
    <w:rsid w:val="00BA4E4D"/>
    <w:rsid w:val="00BA504D"/>
    <w:rsid w:val="00BA5984"/>
    <w:rsid w:val="00BA6450"/>
    <w:rsid w:val="00BA66CB"/>
    <w:rsid w:val="00BA7029"/>
    <w:rsid w:val="00BA741D"/>
    <w:rsid w:val="00BA7DA5"/>
    <w:rsid w:val="00BB0392"/>
    <w:rsid w:val="00BB1400"/>
    <w:rsid w:val="00BB15F7"/>
    <w:rsid w:val="00BB1673"/>
    <w:rsid w:val="00BB2253"/>
    <w:rsid w:val="00BB3A72"/>
    <w:rsid w:val="00BB40D9"/>
    <w:rsid w:val="00BB45A8"/>
    <w:rsid w:val="00BB5433"/>
    <w:rsid w:val="00BB646B"/>
    <w:rsid w:val="00BB77B6"/>
    <w:rsid w:val="00BBF45F"/>
    <w:rsid w:val="00BC02D8"/>
    <w:rsid w:val="00BC082C"/>
    <w:rsid w:val="00BC1A89"/>
    <w:rsid w:val="00BC229D"/>
    <w:rsid w:val="00BC306A"/>
    <w:rsid w:val="00BC3103"/>
    <w:rsid w:val="00BC3454"/>
    <w:rsid w:val="00BC4183"/>
    <w:rsid w:val="00BC477F"/>
    <w:rsid w:val="00BC5A13"/>
    <w:rsid w:val="00BD27AE"/>
    <w:rsid w:val="00BD297A"/>
    <w:rsid w:val="00BD2C45"/>
    <w:rsid w:val="00BD459A"/>
    <w:rsid w:val="00BD45B8"/>
    <w:rsid w:val="00BD53DE"/>
    <w:rsid w:val="00BD591F"/>
    <w:rsid w:val="00BD6015"/>
    <w:rsid w:val="00BD6289"/>
    <w:rsid w:val="00BD7723"/>
    <w:rsid w:val="00BE198F"/>
    <w:rsid w:val="00BE1BF4"/>
    <w:rsid w:val="00BE1C01"/>
    <w:rsid w:val="00BE2870"/>
    <w:rsid w:val="00BE3348"/>
    <w:rsid w:val="00BE3448"/>
    <w:rsid w:val="00BE385B"/>
    <w:rsid w:val="00BE38A2"/>
    <w:rsid w:val="00BE3BDA"/>
    <w:rsid w:val="00BE47F5"/>
    <w:rsid w:val="00BE528F"/>
    <w:rsid w:val="00BE5447"/>
    <w:rsid w:val="00BE6297"/>
    <w:rsid w:val="00BE6510"/>
    <w:rsid w:val="00BE7A95"/>
    <w:rsid w:val="00BF276D"/>
    <w:rsid w:val="00BF2F7A"/>
    <w:rsid w:val="00BF383C"/>
    <w:rsid w:val="00BF3A7C"/>
    <w:rsid w:val="00BF5709"/>
    <w:rsid w:val="00BF58EC"/>
    <w:rsid w:val="00BF6013"/>
    <w:rsid w:val="00BF69B6"/>
    <w:rsid w:val="00BF7357"/>
    <w:rsid w:val="00C00338"/>
    <w:rsid w:val="00C021A1"/>
    <w:rsid w:val="00C02F53"/>
    <w:rsid w:val="00C03090"/>
    <w:rsid w:val="00C03836"/>
    <w:rsid w:val="00C04385"/>
    <w:rsid w:val="00C04BBB"/>
    <w:rsid w:val="00C05E2E"/>
    <w:rsid w:val="00C07507"/>
    <w:rsid w:val="00C07D0E"/>
    <w:rsid w:val="00C10258"/>
    <w:rsid w:val="00C113FD"/>
    <w:rsid w:val="00C11975"/>
    <w:rsid w:val="00C11F75"/>
    <w:rsid w:val="00C11FE3"/>
    <w:rsid w:val="00C13044"/>
    <w:rsid w:val="00C13582"/>
    <w:rsid w:val="00C1373B"/>
    <w:rsid w:val="00C13E5A"/>
    <w:rsid w:val="00C141FB"/>
    <w:rsid w:val="00C154C9"/>
    <w:rsid w:val="00C15A4E"/>
    <w:rsid w:val="00C15EE8"/>
    <w:rsid w:val="00C162C7"/>
    <w:rsid w:val="00C21339"/>
    <w:rsid w:val="00C2215D"/>
    <w:rsid w:val="00C22A99"/>
    <w:rsid w:val="00C2343F"/>
    <w:rsid w:val="00C23A6A"/>
    <w:rsid w:val="00C26473"/>
    <w:rsid w:val="00C267D4"/>
    <w:rsid w:val="00C26E52"/>
    <w:rsid w:val="00C27718"/>
    <w:rsid w:val="00C3010F"/>
    <w:rsid w:val="00C31363"/>
    <w:rsid w:val="00C3322D"/>
    <w:rsid w:val="00C33833"/>
    <w:rsid w:val="00C360EA"/>
    <w:rsid w:val="00C361AD"/>
    <w:rsid w:val="00C36447"/>
    <w:rsid w:val="00C369E4"/>
    <w:rsid w:val="00C376E3"/>
    <w:rsid w:val="00C37B88"/>
    <w:rsid w:val="00C403BD"/>
    <w:rsid w:val="00C40818"/>
    <w:rsid w:val="00C4092E"/>
    <w:rsid w:val="00C415F1"/>
    <w:rsid w:val="00C42B19"/>
    <w:rsid w:val="00C42B69"/>
    <w:rsid w:val="00C43B1E"/>
    <w:rsid w:val="00C43ED8"/>
    <w:rsid w:val="00C441F8"/>
    <w:rsid w:val="00C4426D"/>
    <w:rsid w:val="00C442E6"/>
    <w:rsid w:val="00C44D09"/>
    <w:rsid w:val="00C451D4"/>
    <w:rsid w:val="00C45637"/>
    <w:rsid w:val="00C45F52"/>
    <w:rsid w:val="00C47C19"/>
    <w:rsid w:val="00C50528"/>
    <w:rsid w:val="00C518E6"/>
    <w:rsid w:val="00C5295E"/>
    <w:rsid w:val="00C532DA"/>
    <w:rsid w:val="00C54343"/>
    <w:rsid w:val="00C5438C"/>
    <w:rsid w:val="00C5461E"/>
    <w:rsid w:val="00C54D43"/>
    <w:rsid w:val="00C55059"/>
    <w:rsid w:val="00C550C3"/>
    <w:rsid w:val="00C55FEE"/>
    <w:rsid w:val="00C56677"/>
    <w:rsid w:val="00C5757F"/>
    <w:rsid w:val="00C6014B"/>
    <w:rsid w:val="00C61A7F"/>
    <w:rsid w:val="00C61D27"/>
    <w:rsid w:val="00C64E92"/>
    <w:rsid w:val="00C65EF7"/>
    <w:rsid w:val="00C66003"/>
    <w:rsid w:val="00C667AC"/>
    <w:rsid w:val="00C67193"/>
    <w:rsid w:val="00C675A6"/>
    <w:rsid w:val="00C67B32"/>
    <w:rsid w:val="00C67F6B"/>
    <w:rsid w:val="00C70A43"/>
    <w:rsid w:val="00C70D2F"/>
    <w:rsid w:val="00C71067"/>
    <w:rsid w:val="00C73E17"/>
    <w:rsid w:val="00C7421A"/>
    <w:rsid w:val="00C75848"/>
    <w:rsid w:val="00C762BF"/>
    <w:rsid w:val="00C76EAB"/>
    <w:rsid w:val="00C772AB"/>
    <w:rsid w:val="00C811FA"/>
    <w:rsid w:val="00C81EFD"/>
    <w:rsid w:val="00C81F7E"/>
    <w:rsid w:val="00C8210D"/>
    <w:rsid w:val="00C83BCC"/>
    <w:rsid w:val="00C83C9B"/>
    <w:rsid w:val="00C855FA"/>
    <w:rsid w:val="00C8600B"/>
    <w:rsid w:val="00C8616B"/>
    <w:rsid w:val="00C8796E"/>
    <w:rsid w:val="00C87D42"/>
    <w:rsid w:val="00C87DA2"/>
    <w:rsid w:val="00C923A6"/>
    <w:rsid w:val="00C92611"/>
    <w:rsid w:val="00C92D4A"/>
    <w:rsid w:val="00C93BE0"/>
    <w:rsid w:val="00C93FFE"/>
    <w:rsid w:val="00C9567F"/>
    <w:rsid w:val="00C95F32"/>
    <w:rsid w:val="00C97025"/>
    <w:rsid w:val="00C97F16"/>
    <w:rsid w:val="00CA2475"/>
    <w:rsid w:val="00CA2583"/>
    <w:rsid w:val="00CA2E0A"/>
    <w:rsid w:val="00CA3300"/>
    <w:rsid w:val="00CA3436"/>
    <w:rsid w:val="00CA5803"/>
    <w:rsid w:val="00CA6129"/>
    <w:rsid w:val="00CA6219"/>
    <w:rsid w:val="00CA62DE"/>
    <w:rsid w:val="00CA6811"/>
    <w:rsid w:val="00CA7391"/>
    <w:rsid w:val="00CA7664"/>
    <w:rsid w:val="00CB0299"/>
    <w:rsid w:val="00CB05FD"/>
    <w:rsid w:val="00CB095E"/>
    <w:rsid w:val="00CB1B95"/>
    <w:rsid w:val="00CB1BB2"/>
    <w:rsid w:val="00CB1CFA"/>
    <w:rsid w:val="00CB1ECC"/>
    <w:rsid w:val="00CB21E5"/>
    <w:rsid w:val="00CB23C3"/>
    <w:rsid w:val="00CB3181"/>
    <w:rsid w:val="00CB4308"/>
    <w:rsid w:val="00CB54AA"/>
    <w:rsid w:val="00CB6A83"/>
    <w:rsid w:val="00CB6BA5"/>
    <w:rsid w:val="00CB6D5F"/>
    <w:rsid w:val="00CC0329"/>
    <w:rsid w:val="00CC16D7"/>
    <w:rsid w:val="00CC1F3F"/>
    <w:rsid w:val="00CC2A1F"/>
    <w:rsid w:val="00CC2C1E"/>
    <w:rsid w:val="00CC2C91"/>
    <w:rsid w:val="00CC3412"/>
    <w:rsid w:val="00CC36AE"/>
    <w:rsid w:val="00CC3852"/>
    <w:rsid w:val="00CC3FA4"/>
    <w:rsid w:val="00CC47CF"/>
    <w:rsid w:val="00CC49AB"/>
    <w:rsid w:val="00CC4D07"/>
    <w:rsid w:val="00CC4E9A"/>
    <w:rsid w:val="00CC5AE4"/>
    <w:rsid w:val="00CC600A"/>
    <w:rsid w:val="00CC6F1D"/>
    <w:rsid w:val="00CC7082"/>
    <w:rsid w:val="00CC76E2"/>
    <w:rsid w:val="00CD0C29"/>
    <w:rsid w:val="00CD0CDE"/>
    <w:rsid w:val="00CD1CEF"/>
    <w:rsid w:val="00CD260A"/>
    <w:rsid w:val="00CD2BD4"/>
    <w:rsid w:val="00CD3CA2"/>
    <w:rsid w:val="00CD41E9"/>
    <w:rsid w:val="00CD5396"/>
    <w:rsid w:val="00CD6070"/>
    <w:rsid w:val="00CD6573"/>
    <w:rsid w:val="00CD6A40"/>
    <w:rsid w:val="00CE10E9"/>
    <w:rsid w:val="00CE1449"/>
    <w:rsid w:val="00CE1571"/>
    <w:rsid w:val="00CE1A90"/>
    <w:rsid w:val="00CE2FAC"/>
    <w:rsid w:val="00CE3691"/>
    <w:rsid w:val="00CE4118"/>
    <w:rsid w:val="00CE44CA"/>
    <w:rsid w:val="00CE4712"/>
    <w:rsid w:val="00CE5D84"/>
    <w:rsid w:val="00CE67CD"/>
    <w:rsid w:val="00CF1305"/>
    <w:rsid w:val="00CF2194"/>
    <w:rsid w:val="00CF2C4C"/>
    <w:rsid w:val="00CF3753"/>
    <w:rsid w:val="00CF3E7A"/>
    <w:rsid w:val="00CF3EC7"/>
    <w:rsid w:val="00CF475F"/>
    <w:rsid w:val="00CF4815"/>
    <w:rsid w:val="00CF5455"/>
    <w:rsid w:val="00CF64D1"/>
    <w:rsid w:val="00CF6656"/>
    <w:rsid w:val="00D0150D"/>
    <w:rsid w:val="00D047EE"/>
    <w:rsid w:val="00D04EBB"/>
    <w:rsid w:val="00D04F24"/>
    <w:rsid w:val="00D075AE"/>
    <w:rsid w:val="00D0772A"/>
    <w:rsid w:val="00D07FFD"/>
    <w:rsid w:val="00D103C9"/>
    <w:rsid w:val="00D11910"/>
    <w:rsid w:val="00D12BF6"/>
    <w:rsid w:val="00D12E0C"/>
    <w:rsid w:val="00D13C83"/>
    <w:rsid w:val="00D13E61"/>
    <w:rsid w:val="00D15408"/>
    <w:rsid w:val="00D15B92"/>
    <w:rsid w:val="00D15FFC"/>
    <w:rsid w:val="00D16C2B"/>
    <w:rsid w:val="00D16ED6"/>
    <w:rsid w:val="00D16F80"/>
    <w:rsid w:val="00D176D0"/>
    <w:rsid w:val="00D204DC"/>
    <w:rsid w:val="00D2058C"/>
    <w:rsid w:val="00D206CF"/>
    <w:rsid w:val="00D20CA9"/>
    <w:rsid w:val="00D20E8C"/>
    <w:rsid w:val="00D217F2"/>
    <w:rsid w:val="00D222AE"/>
    <w:rsid w:val="00D224DF"/>
    <w:rsid w:val="00D22E23"/>
    <w:rsid w:val="00D23090"/>
    <w:rsid w:val="00D2408F"/>
    <w:rsid w:val="00D2413E"/>
    <w:rsid w:val="00D24AB1"/>
    <w:rsid w:val="00D25A0F"/>
    <w:rsid w:val="00D260B7"/>
    <w:rsid w:val="00D263D5"/>
    <w:rsid w:val="00D26A74"/>
    <w:rsid w:val="00D2798B"/>
    <w:rsid w:val="00D309A3"/>
    <w:rsid w:val="00D3195C"/>
    <w:rsid w:val="00D319D9"/>
    <w:rsid w:val="00D32CA9"/>
    <w:rsid w:val="00D331F7"/>
    <w:rsid w:val="00D332A8"/>
    <w:rsid w:val="00D341B7"/>
    <w:rsid w:val="00D352CF"/>
    <w:rsid w:val="00D35D84"/>
    <w:rsid w:val="00D37B5F"/>
    <w:rsid w:val="00D37EA5"/>
    <w:rsid w:val="00D416CA"/>
    <w:rsid w:val="00D41F77"/>
    <w:rsid w:val="00D43751"/>
    <w:rsid w:val="00D439E2"/>
    <w:rsid w:val="00D44125"/>
    <w:rsid w:val="00D44E5A"/>
    <w:rsid w:val="00D45986"/>
    <w:rsid w:val="00D4610D"/>
    <w:rsid w:val="00D464FF"/>
    <w:rsid w:val="00D4658D"/>
    <w:rsid w:val="00D46789"/>
    <w:rsid w:val="00D47853"/>
    <w:rsid w:val="00D51097"/>
    <w:rsid w:val="00D52A55"/>
    <w:rsid w:val="00D5398F"/>
    <w:rsid w:val="00D53C54"/>
    <w:rsid w:val="00D53C93"/>
    <w:rsid w:val="00D53DED"/>
    <w:rsid w:val="00D558CC"/>
    <w:rsid w:val="00D55BB6"/>
    <w:rsid w:val="00D57072"/>
    <w:rsid w:val="00D5715F"/>
    <w:rsid w:val="00D6002F"/>
    <w:rsid w:val="00D60B61"/>
    <w:rsid w:val="00D61072"/>
    <w:rsid w:val="00D610CD"/>
    <w:rsid w:val="00D62AF4"/>
    <w:rsid w:val="00D62B24"/>
    <w:rsid w:val="00D63D3C"/>
    <w:rsid w:val="00D643D9"/>
    <w:rsid w:val="00D6480D"/>
    <w:rsid w:val="00D65666"/>
    <w:rsid w:val="00D65A6E"/>
    <w:rsid w:val="00D666CF"/>
    <w:rsid w:val="00D6687B"/>
    <w:rsid w:val="00D66AE2"/>
    <w:rsid w:val="00D67780"/>
    <w:rsid w:val="00D706E1"/>
    <w:rsid w:val="00D709AD"/>
    <w:rsid w:val="00D70A69"/>
    <w:rsid w:val="00D7135A"/>
    <w:rsid w:val="00D71463"/>
    <w:rsid w:val="00D740E1"/>
    <w:rsid w:val="00D745E9"/>
    <w:rsid w:val="00D74B96"/>
    <w:rsid w:val="00D74F1E"/>
    <w:rsid w:val="00D76B16"/>
    <w:rsid w:val="00D774A8"/>
    <w:rsid w:val="00D81744"/>
    <w:rsid w:val="00D81784"/>
    <w:rsid w:val="00D82833"/>
    <w:rsid w:val="00D829D6"/>
    <w:rsid w:val="00D82D76"/>
    <w:rsid w:val="00D836BF"/>
    <w:rsid w:val="00D83768"/>
    <w:rsid w:val="00D84031"/>
    <w:rsid w:val="00D84033"/>
    <w:rsid w:val="00D84F26"/>
    <w:rsid w:val="00D86DD0"/>
    <w:rsid w:val="00D8788F"/>
    <w:rsid w:val="00D87D09"/>
    <w:rsid w:val="00D87E5C"/>
    <w:rsid w:val="00D90D69"/>
    <w:rsid w:val="00D92D11"/>
    <w:rsid w:val="00D92D96"/>
    <w:rsid w:val="00D933DC"/>
    <w:rsid w:val="00D93607"/>
    <w:rsid w:val="00D93DB2"/>
    <w:rsid w:val="00D93F09"/>
    <w:rsid w:val="00D95683"/>
    <w:rsid w:val="00D95868"/>
    <w:rsid w:val="00D95A5B"/>
    <w:rsid w:val="00D95CEC"/>
    <w:rsid w:val="00DA044B"/>
    <w:rsid w:val="00DA2956"/>
    <w:rsid w:val="00DA2BF4"/>
    <w:rsid w:val="00DA317F"/>
    <w:rsid w:val="00DA373E"/>
    <w:rsid w:val="00DA39E8"/>
    <w:rsid w:val="00DA4852"/>
    <w:rsid w:val="00DA4D26"/>
    <w:rsid w:val="00DA52CD"/>
    <w:rsid w:val="00DA59C0"/>
    <w:rsid w:val="00DA5AC0"/>
    <w:rsid w:val="00DA691E"/>
    <w:rsid w:val="00DA6AF3"/>
    <w:rsid w:val="00DA6CF8"/>
    <w:rsid w:val="00DB01DC"/>
    <w:rsid w:val="00DB03B2"/>
    <w:rsid w:val="00DB110F"/>
    <w:rsid w:val="00DB436B"/>
    <w:rsid w:val="00DB5B93"/>
    <w:rsid w:val="00DB5D82"/>
    <w:rsid w:val="00DB5E38"/>
    <w:rsid w:val="00DB61CA"/>
    <w:rsid w:val="00DB6585"/>
    <w:rsid w:val="00DC00D3"/>
    <w:rsid w:val="00DC1131"/>
    <w:rsid w:val="00DC132D"/>
    <w:rsid w:val="00DC1B9E"/>
    <w:rsid w:val="00DC1ECC"/>
    <w:rsid w:val="00DC4437"/>
    <w:rsid w:val="00DC55AE"/>
    <w:rsid w:val="00DC5D91"/>
    <w:rsid w:val="00DC63A2"/>
    <w:rsid w:val="00DC6DAB"/>
    <w:rsid w:val="00DD0041"/>
    <w:rsid w:val="00DD0B1A"/>
    <w:rsid w:val="00DD26FA"/>
    <w:rsid w:val="00DD28E1"/>
    <w:rsid w:val="00DD4246"/>
    <w:rsid w:val="00DD4390"/>
    <w:rsid w:val="00DD4AC2"/>
    <w:rsid w:val="00DD4F39"/>
    <w:rsid w:val="00DD556C"/>
    <w:rsid w:val="00DD6980"/>
    <w:rsid w:val="00DD724C"/>
    <w:rsid w:val="00DD75B8"/>
    <w:rsid w:val="00DE050B"/>
    <w:rsid w:val="00DE07E8"/>
    <w:rsid w:val="00DE0859"/>
    <w:rsid w:val="00DE1B78"/>
    <w:rsid w:val="00DE1E91"/>
    <w:rsid w:val="00DE2387"/>
    <w:rsid w:val="00DE2489"/>
    <w:rsid w:val="00DE2B0E"/>
    <w:rsid w:val="00DE2C16"/>
    <w:rsid w:val="00DE366D"/>
    <w:rsid w:val="00DE439B"/>
    <w:rsid w:val="00DE4878"/>
    <w:rsid w:val="00DE5A70"/>
    <w:rsid w:val="00DE5E09"/>
    <w:rsid w:val="00DE6529"/>
    <w:rsid w:val="00DE6724"/>
    <w:rsid w:val="00DE68CE"/>
    <w:rsid w:val="00DE6E7B"/>
    <w:rsid w:val="00DE750C"/>
    <w:rsid w:val="00DF019B"/>
    <w:rsid w:val="00DF0B76"/>
    <w:rsid w:val="00DF169E"/>
    <w:rsid w:val="00DF24EA"/>
    <w:rsid w:val="00DF3495"/>
    <w:rsid w:val="00DF42FA"/>
    <w:rsid w:val="00DF4D91"/>
    <w:rsid w:val="00DF5656"/>
    <w:rsid w:val="00DF66C0"/>
    <w:rsid w:val="00DF6FD5"/>
    <w:rsid w:val="00DF7418"/>
    <w:rsid w:val="00DF777B"/>
    <w:rsid w:val="00E020E0"/>
    <w:rsid w:val="00E0281C"/>
    <w:rsid w:val="00E02FE6"/>
    <w:rsid w:val="00E03CC5"/>
    <w:rsid w:val="00E04CBE"/>
    <w:rsid w:val="00E05AC5"/>
    <w:rsid w:val="00E078E9"/>
    <w:rsid w:val="00E07B30"/>
    <w:rsid w:val="00E07D29"/>
    <w:rsid w:val="00E07F9B"/>
    <w:rsid w:val="00E1026C"/>
    <w:rsid w:val="00E1028F"/>
    <w:rsid w:val="00E107A8"/>
    <w:rsid w:val="00E10F8E"/>
    <w:rsid w:val="00E132D3"/>
    <w:rsid w:val="00E134BE"/>
    <w:rsid w:val="00E142BC"/>
    <w:rsid w:val="00E14313"/>
    <w:rsid w:val="00E151A9"/>
    <w:rsid w:val="00E168E8"/>
    <w:rsid w:val="00E16D62"/>
    <w:rsid w:val="00E17F5C"/>
    <w:rsid w:val="00E20392"/>
    <w:rsid w:val="00E206F7"/>
    <w:rsid w:val="00E21840"/>
    <w:rsid w:val="00E22583"/>
    <w:rsid w:val="00E22BD4"/>
    <w:rsid w:val="00E235E4"/>
    <w:rsid w:val="00E236EB"/>
    <w:rsid w:val="00E23DD2"/>
    <w:rsid w:val="00E24FAC"/>
    <w:rsid w:val="00E25009"/>
    <w:rsid w:val="00E261C4"/>
    <w:rsid w:val="00E26749"/>
    <w:rsid w:val="00E275E2"/>
    <w:rsid w:val="00E30EB9"/>
    <w:rsid w:val="00E30FF4"/>
    <w:rsid w:val="00E31219"/>
    <w:rsid w:val="00E31697"/>
    <w:rsid w:val="00E31988"/>
    <w:rsid w:val="00E35111"/>
    <w:rsid w:val="00E3521B"/>
    <w:rsid w:val="00E3599B"/>
    <w:rsid w:val="00E361CF"/>
    <w:rsid w:val="00E36528"/>
    <w:rsid w:val="00E4244B"/>
    <w:rsid w:val="00E42E88"/>
    <w:rsid w:val="00E43745"/>
    <w:rsid w:val="00E458BE"/>
    <w:rsid w:val="00E45FFB"/>
    <w:rsid w:val="00E46123"/>
    <w:rsid w:val="00E4745C"/>
    <w:rsid w:val="00E47941"/>
    <w:rsid w:val="00E5099F"/>
    <w:rsid w:val="00E50D6A"/>
    <w:rsid w:val="00E527BB"/>
    <w:rsid w:val="00E535AD"/>
    <w:rsid w:val="00E53C43"/>
    <w:rsid w:val="00E54520"/>
    <w:rsid w:val="00E5490E"/>
    <w:rsid w:val="00E54D6C"/>
    <w:rsid w:val="00E54E73"/>
    <w:rsid w:val="00E54ED9"/>
    <w:rsid w:val="00E5689D"/>
    <w:rsid w:val="00E56C04"/>
    <w:rsid w:val="00E56C72"/>
    <w:rsid w:val="00E56C84"/>
    <w:rsid w:val="00E57082"/>
    <w:rsid w:val="00E57782"/>
    <w:rsid w:val="00E60C4D"/>
    <w:rsid w:val="00E60C5A"/>
    <w:rsid w:val="00E61341"/>
    <w:rsid w:val="00E61BF4"/>
    <w:rsid w:val="00E625BC"/>
    <w:rsid w:val="00E627F5"/>
    <w:rsid w:val="00E62BB1"/>
    <w:rsid w:val="00E62E6D"/>
    <w:rsid w:val="00E631F4"/>
    <w:rsid w:val="00E64632"/>
    <w:rsid w:val="00E64BF9"/>
    <w:rsid w:val="00E65007"/>
    <w:rsid w:val="00E65A9C"/>
    <w:rsid w:val="00E65E88"/>
    <w:rsid w:val="00E66831"/>
    <w:rsid w:val="00E670FC"/>
    <w:rsid w:val="00E6755D"/>
    <w:rsid w:val="00E70536"/>
    <w:rsid w:val="00E7121A"/>
    <w:rsid w:val="00E71468"/>
    <w:rsid w:val="00E72105"/>
    <w:rsid w:val="00E7231F"/>
    <w:rsid w:val="00E72BFE"/>
    <w:rsid w:val="00E72FD0"/>
    <w:rsid w:val="00E73B05"/>
    <w:rsid w:val="00E7431F"/>
    <w:rsid w:val="00E7485E"/>
    <w:rsid w:val="00E752F6"/>
    <w:rsid w:val="00E76389"/>
    <w:rsid w:val="00E77CAD"/>
    <w:rsid w:val="00E77D83"/>
    <w:rsid w:val="00E77DC5"/>
    <w:rsid w:val="00E821E5"/>
    <w:rsid w:val="00E83E85"/>
    <w:rsid w:val="00E84B7F"/>
    <w:rsid w:val="00E85B63"/>
    <w:rsid w:val="00E8700A"/>
    <w:rsid w:val="00E870AA"/>
    <w:rsid w:val="00E90420"/>
    <w:rsid w:val="00E90B5F"/>
    <w:rsid w:val="00E90BE8"/>
    <w:rsid w:val="00E916B7"/>
    <w:rsid w:val="00E9263C"/>
    <w:rsid w:val="00E92A8C"/>
    <w:rsid w:val="00E93667"/>
    <w:rsid w:val="00E93D31"/>
    <w:rsid w:val="00E94353"/>
    <w:rsid w:val="00E9469C"/>
    <w:rsid w:val="00E94E69"/>
    <w:rsid w:val="00E95408"/>
    <w:rsid w:val="00E95831"/>
    <w:rsid w:val="00E96D6F"/>
    <w:rsid w:val="00EA0152"/>
    <w:rsid w:val="00EA13FD"/>
    <w:rsid w:val="00EA3DA4"/>
    <w:rsid w:val="00EA48FD"/>
    <w:rsid w:val="00EA4A84"/>
    <w:rsid w:val="00EA4FA1"/>
    <w:rsid w:val="00EA7024"/>
    <w:rsid w:val="00EA7F9C"/>
    <w:rsid w:val="00EB11EB"/>
    <w:rsid w:val="00EB16D0"/>
    <w:rsid w:val="00EB23A9"/>
    <w:rsid w:val="00EB2EE5"/>
    <w:rsid w:val="00EB4A5D"/>
    <w:rsid w:val="00EB5766"/>
    <w:rsid w:val="00EB5DE6"/>
    <w:rsid w:val="00EB6234"/>
    <w:rsid w:val="00EB6E93"/>
    <w:rsid w:val="00EB7334"/>
    <w:rsid w:val="00EC0F00"/>
    <w:rsid w:val="00EC21DD"/>
    <w:rsid w:val="00EC2A11"/>
    <w:rsid w:val="00EC2BAE"/>
    <w:rsid w:val="00EC35A0"/>
    <w:rsid w:val="00EC3DDF"/>
    <w:rsid w:val="00EC4073"/>
    <w:rsid w:val="00EC4603"/>
    <w:rsid w:val="00EC4AC2"/>
    <w:rsid w:val="00EC4D89"/>
    <w:rsid w:val="00EC6D33"/>
    <w:rsid w:val="00EC6F73"/>
    <w:rsid w:val="00EC75E4"/>
    <w:rsid w:val="00EC7AAB"/>
    <w:rsid w:val="00EC7E61"/>
    <w:rsid w:val="00ED0187"/>
    <w:rsid w:val="00ED33C6"/>
    <w:rsid w:val="00ED374F"/>
    <w:rsid w:val="00ED3AB3"/>
    <w:rsid w:val="00ED4978"/>
    <w:rsid w:val="00ED4CA0"/>
    <w:rsid w:val="00ED7A07"/>
    <w:rsid w:val="00EE1710"/>
    <w:rsid w:val="00EE1807"/>
    <w:rsid w:val="00EE1CC3"/>
    <w:rsid w:val="00EE2478"/>
    <w:rsid w:val="00EE3B0D"/>
    <w:rsid w:val="00EE47BE"/>
    <w:rsid w:val="00EE62C2"/>
    <w:rsid w:val="00EE7029"/>
    <w:rsid w:val="00EE75B3"/>
    <w:rsid w:val="00EE7615"/>
    <w:rsid w:val="00EF098F"/>
    <w:rsid w:val="00EF23EA"/>
    <w:rsid w:val="00EF25C6"/>
    <w:rsid w:val="00EF2823"/>
    <w:rsid w:val="00EF3BCE"/>
    <w:rsid w:val="00EF43F4"/>
    <w:rsid w:val="00EF4806"/>
    <w:rsid w:val="00EF50D8"/>
    <w:rsid w:val="00EF5ADE"/>
    <w:rsid w:val="00EF5B79"/>
    <w:rsid w:val="00EF5E1B"/>
    <w:rsid w:val="00EF60C8"/>
    <w:rsid w:val="00EF676B"/>
    <w:rsid w:val="00EF7088"/>
    <w:rsid w:val="00EF7123"/>
    <w:rsid w:val="00F02563"/>
    <w:rsid w:val="00F030EC"/>
    <w:rsid w:val="00F03861"/>
    <w:rsid w:val="00F041B7"/>
    <w:rsid w:val="00F04311"/>
    <w:rsid w:val="00F05933"/>
    <w:rsid w:val="00F05A4F"/>
    <w:rsid w:val="00F06430"/>
    <w:rsid w:val="00F07A8F"/>
    <w:rsid w:val="00F11535"/>
    <w:rsid w:val="00F118D5"/>
    <w:rsid w:val="00F11AC9"/>
    <w:rsid w:val="00F122BC"/>
    <w:rsid w:val="00F12841"/>
    <w:rsid w:val="00F165A7"/>
    <w:rsid w:val="00F20779"/>
    <w:rsid w:val="00F208FD"/>
    <w:rsid w:val="00F20BE3"/>
    <w:rsid w:val="00F21986"/>
    <w:rsid w:val="00F222B2"/>
    <w:rsid w:val="00F229B0"/>
    <w:rsid w:val="00F23A1A"/>
    <w:rsid w:val="00F24B38"/>
    <w:rsid w:val="00F25036"/>
    <w:rsid w:val="00F2747D"/>
    <w:rsid w:val="00F304E5"/>
    <w:rsid w:val="00F30BC2"/>
    <w:rsid w:val="00F30CEA"/>
    <w:rsid w:val="00F31466"/>
    <w:rsid w:val="00F325B6"/>
    <w:rsid w:val="00F32741"/>
    <w:rsid w:val="00F32793"/>
    <w:rsid w:val="00F327F4"/>
    <w:rsid w:val="00F329F5"/>
    <w:rsid w:val="00F33B05"/>
    <w:rsid w:val="00F33E7C"/>
    <w:rsid w:val="00F342FA"/>
    <w:rsid w:val="00F345E7"/>
    <w:rsid w:val="00F367E5"/>
    <w:rsid w:val="00F37084"/>
    <w:rsid w:val="00F37247"/>
    <w:rsid w:val="00F40B69"/>
    <w:rsid w:val="00F40BAE"/>
    <w:rsid w:val="00F419A2"/>
    <w:rsid w:val="00F41BA8"/>
    <w:rsid w:val="00F4366A"/>
    <w:rsid w:val="00F4398B"/>
    <w:rsid w:val="00F43CEA"/>
    <w:rsid w:val="00F450C6"/>
    <w:rsid w:val="00F45812"/>
    <w:rsid w:val="00F45B95"/>
    <w:rsid w:val="00F50454"/>
    <w:rsid w:val="00F51DCE"/>
    <w:rsid w:val="00F535D7"/>
    <w:rsid w:val="00F54A03"/>
    <w:rsid w:val="00F54D71"/>
    <w:rsid w:val="00F556BA"/>
    <w:rsid w:val="00F55A06"/>
    <w:rsid w:val="00F56F6B"/>
    <w:rsid w:val="00F574D5"/>
    <w:rsid w:val="00F57CEB"/>
    <w:rsid w:val="00F61009"/>
    <w:rsid w:val="00F614C6"/>
    <w:rsid w:val="00F61EF8"/>
    <w:rsid w:val="00F62353"/>
    <w:rsid w:val="00F6235F"/>
    <w:rsid w:val="00F62E09"/>
    <w:rsid w:val="00F63339"/>
    <w:rsid w:val="00F65F03"/>
    <w:rsid w:val="00F667A3"/>
    <w:rsid w:val="00F6773F"/>
    <w:rsid w:val="00F70281"/>
    <w:rsid w:val="00F72911"/>
    <w:rsid w:val="00F73024"/>
    <w:rsid w:val="00F7307E"/>
    <w:rsid w:val="00F73DBF"/>
    <w:rsid w:val="00F74092"/>
    <w:rsid w:val="00F743D0"/>
    <w:rsid w:val="00F746E5"/>
    <w:rsid w:val="00F753A1"/>
    <w:rsid w:val="00F75B1E"/>
    <w:rsid w:val="00F76598"/>
    <w:rsid w:val="00F76A09"/>
    <w:rsid w:val="00F7720C"/>
    <w:rsid w:val="00F77325"/>
    <w:rsid w:val="00F77FF4"/>
    <w:rsid w:val="00F8067B"/>
    <w:rsid w:val="00F8153E"/>
    <w:rsid w:val="00F8173A"/>
    <w:rsid w:val="00F81DAF"/>
    <w:rsid w:val="00F82096"/>
    <w:rsid w:val="00F82418"/>
    <w:rsid w:val="00F835D9"/>
    <w:rsid w:val="00F83905"/>
    <w:rsid w:val="00F8506F"/>
    <w:rsid w:val="00F8507C"/>
    <w:rsid w:val="00F854CE"/>
    <w:rsid w:val="00F85CAE"/>
    <w:rsid w:val="00F85FFE"/>
    <w:rsid w:val="00F86798"/>
    <w:rsid w:val="00F87371"/>
    <w:rsid w:val="00F92333"/>
    <w:rsid w:val="00F92D19"/>
    <w:rsid w:val="00F94FB8"/>
    <w:rsid w:val="00F96511"/>
    <w:rsid w:val="00F96E16"/>
    <w:rsid w:val="00FA2629"/>
    <w:rsid w:val="00FA2FA8"/>
    <w:rsid w:val="00FA35E3"/>
    <w:rsid w:val="00FA3681"/>
    <w:rsid w:val="00FA3A9A"/>
    <w:rsid w:val="00FA4463"/>
    <w:rsid w:val="00FA4498"/>
    <w:rsid w:val="00FA45E3"/>
    <w:rsid w:val="00FA5ACC"/>
    <w:rsid w:val="00FA6A9C"/>
    <w:rsid w:val="00FA7044"/>
    <w:rsid w:val="00FA7AD3"/>
    <w:rsid w:val="00FB0677"/>
    <w:rsid w:val="00FB0D0E"/>
    <w:rsid w:val="00FB1B35"/>
    <w:rsid w:val="00FB1B55"/>
    <w:rsid w:val="00FB1E9C"/>
    <w:rsid w:val="00FB1FBD"/>
    <w:rsid w:val="00FB2140"/>
    <w:rsid w:val="00FB271F"/>
    <w:rsid w:val="00FB3E65"/>
    <w:rsid w:val="00FB426F"/>
    <w:rsid w:val="00FB4789"/>
    <w:rsid w:val="00FB4DC7"/>
    <w:rsid w:val="00FB50AD"/>
    <w:rsid w:val="00FB59AE"/>
    <w:rsid w:val="00FB5AF7"/>
    <w:rsid w:val="00FB6892"/>
    <w:rsid w:val="00FB7623"/>
    <w:rsid w:val="00FB7D01"/>
    <w:rsid w:val="00FC0021"/>
    <w:rsid w:val="00FC09AD"/>
    <w:rsid w:val="00FC1A76"/>
    <w:rsid w:val="00FC4306"/>
    <w:rsid w:val="00FC4DC9"/>
    <w:rsid w:val="00FC52A4"/>
    <w:rsid w:val="00FC5EB7"/>
    <w:rsid w:val="00FC668F"/>
    <w:rsid w:val="00FC7188"/>
    <w:rsid w:val="00FC79EA"/>
    <w:rsid w:val="00FD078A"/>
    <w:rsid w:val="00FD1F26"/>
    <w:rsid w:val="00FD21EE"/>
    <w:rsid w:val="00FD3830"/>
    <w:rsid w:val="00FD43F5"/>
    <w:rsid w:val="00FD4E8E"/>
    <w:rsid w:val="00FD60C1"/>
    <w:rsid w:val="00FD7927"/>
    <w:rsid w:val="00FE0697"/>
    <w:rsid w:val="00FE0B83"/>
    <w:rsid w:val="00FE112B"/>
    <w:rsid w:val="00FE2A18"/>
    <w:rsid w:val="00FE4642"/>
    <w:rsid w:val="00FE4648"/>
    <w:rsid w:val="00FE47F2"/>
    <w:rsid w:val="00FF0480"/>
    <w:rsid w:val="00FF1481"/>
    <w:rsid w:val="00FF1DC7"/>
    <w:rsid w:val="00FF3D80"/>
    <w:rsid w:val="00FF3DB1"/>
    <w:rsid w:val="00FF467D"/>
    <w:rsid w:val="00FF4727"/>
    <w:rsid w:val="00FF49FA"/>
    <w:rsid w:val="00FF5782"/>
    <w:rsid w:val="00FF5933"/>
    <w:rsid w:val="00FF67C6"/>
    <w:rsid w:val="00FF6FAC"/>
    <w:rsid w:val="00FF7F0E"/>
    <w:rsid w:val="0182FF21"/>
    <w:rsid w:val="018434DE"/>
    <w:rsid w:val="01D7846C"/>
    <w:rsid w:val="02B25511"/>
    <w:rsid w:val="02C19FD7"/>
    <w:rsid w:val="02D33C29"/>
    <w:rsid w:val="034D9628"/>
    <w:rsid w:val="036FC215"/>
    <w:rsid w:val="039C3F02"/>
    <w:rsid w:val="03B7020D"/>
    <w:rsid w:val="03F78D9E"/>
    <w:rsid w:val="046C83F5"/>
    <w:rsid w:val="04C2996B"/>
    <w:rsid w:val="04E7A5AC"/>
    <w:rsid w:val="04FDE54F"/>
    <w:rsid w:val="05745B81"/>
    <w:rsid w:val="058412CB"/>
    <w:rsid w:val="05E03235"/>
    <w:rsid w:val="05EB7A5F"/>
    <w:rsid w:val="0626F6D7"/>
    <w:rsid w:val="0647F3C5"/>
    <w:rsid w:val="06542A2D"/>
    <w:rsid w:val="0662A72A"/>
    <w:rsid w:val="067CCAE7"/>
    <w:rsid w:val="06B62266"/>
    <w:rsid w:val="06B6401B"/>
    <w:rsid w:val="06DC101E"/>
    <w:rsid w:val="072A8A94"/>
    <w:rsid w:val="0738516E"/>
    <w:rsid w:val="07920800"/>
    <w:rsid w:val="07A0A1C3"/>
    <w:rsid w:val="07E17ECC"/>
    <w:rsid w:val="07F9C5D9"/>
    <w:rsid w:val="08061DF9"/>
    <w:rsid w:val="083D7939"/>
    <w:rsid w:val="08416B8D"/>
    <w:rsid w:val="084FB758"/>
    <w:rsid w:val="08881968"/>
    <w:rsid w:val="08916482"/>
    <w:rsid w:val="08C225B7"/>
    <w:rsid w:val="08EFAF31"/>
    <w:rsid w:val="09AC0579"/>
    <w:rsid w:val="0A3D319C"/>
    <w:rsid w:val="0A566815"/>
    <w:rsid w:val="0ABB9087"/>
    <w:rsid w:val="0B1CE52F"/>
    <w:rsid w:val="0B639265"/>
    <w:rsid w:val="0B9B2909"/>
    <w:rsid w:val="0BC1BB5B"/>
    <w:rsid w:val="0BE5A4BB"/>
    <w:rsid w:val="0C09FF84"/>
    <w:rsid w:val="0C5DB993"/>
    <w:rsid w:val="0C7CC97A"/>
    <w:rsid w:val="0CAE0A66"/>
    <w:rsid w:val="0CD32A13"/>
    <w:rsid w:val="0D24821A"/>
    <w:rsid w:val="0D710C15"/>
    <w:rsid w:val="0DA0BEFF"/>
    <w:rsid w:val="0DEEF9AD"/>
    <w:rsid w:val="0DF39F3B"/>
    <w:rsid w:val="0E461319"/>
    <w:rsid w:val="0EB61DDA"/>
    <w:rsid w:val="0EC7B54A"/>
    <w:rsid w:val="0EDD5B05"/>
    <w:rsid w:val="0F241C43"/>
    <w:rsid w:val="0F39BABE"/>
    <w:rsid w:val="0F86D6FB"/>
    <w:rsid w:val="0F8EF2DF"/>
    <w:rsid w:val="0FDEEFE8"/>
    <w:rsid w:val="101554A6"/>
    <w:rsid w:val="103F1DB6"/>
    <w:rsid w:val="106498A0"/>
    <w:rsid w:val="107FB663"/>
    <w:rsid w:val="1091E7A0"/>
    <w:rsid w:val="10D7D0B3"/>
    <w:rsid w:val="10F1A40F"/>
    <w:rsid w:val="10FACF68"/>
    <w:rsid w:val="113ED42D"/>
    <w:rsid w:val="120035E5"/>
    <w:rsid w:val="12188358"/>
    <w:rsid w:val="12613245"/>
    <w:rsid w:val="1297CEEC"/>
    <w:rsid w:val="12DED202"/>
    <w:rsid w:val="135D9F72"/>
    <w:rsid w:val="13633BB6"/>
    <w:rsid w:val="13B54BCE"/>
    <w:rsid w:val="144CBDC2"/>
    <w:rsid w:val="148E64A0"/>
    <w:rsid w:val="1496BEA3"/>
    <w:rsid w:val="14CF217D"/>
    <w:rsid w:val="1526C3AC"/>
    <w:rsid w:val="154AC495"/>
    <w:rsid w:val="1596C35F"/>
    <w:rsid w:val="16940B9E"/>
    <w:rsid w:val="16A1BF31"/>
    <w:rsid w:val="17612F48"/>
    <w:rsid w:val="17B4F416"/>
    <w:rsid w:val="17F0D4F0"/>
    <w:rsid w:val="180B7010"/>
    <w:rsid w:val="1817493E"/>
    <w:rsid w:val="18CD9AC4"/>
    <w:rsid w:val="18DC3899"/>
    <w:rsid w:val="18E97190"/>
    <w:rsid w:val="18FDB834"/>
    <w:rsid w:val="194888CF"/>
    <w:rsid w:val="1960EE83"/>
    <w:rsid w:val="1969A3CE"/>
    <w:rsid w:val="196C07C3"/>
    <w:rsid w:val="19A924F2"/>
    <w:rsid w:val="19FA7346"/>
    <w:rsid w:val="1A26E90A"/>
    <w:rsid w:val="1A5EDF20"/>
    <w:rsid w:val="1A65A13F"/>
    <w:rsid w:val="1ABCA669"/>
    <w:rsid w:val="1AEC44A3"/>
    <w:rsid w:val="1B0644A2"/>
    <w:rsid w:val="1BECC608"/>
    <w:rsid w:val="1C01E0EF"/>
    <w:rsid w:val="1C70301A"/>
    <w:rsid w:val="1C83CDA1"/>
    <w:rsid w:val="1CBEE1B3"/>
    <w:rsid w:val="1CCFE22E"/>
    <w:rsid w:val="1D498F41"/>
    <w:rsid w:val="1E97EE26"/>
    <w:rsid w:val="1EF03A72"/>
    <w:rsid w:val="1F1EEB7D"/>
    <w:rsid w:val="1F3FFD8F"/>
    <w:rsid w:val="2106F64D"/>
    <w:rsid w:val="212370CA"/>
    <w:rsid w:val="2152BBB5"/>
    <w:rsid w:val="218757D3"/>
    <w:rsid w:val="219ACA34"/>
    <w:rsid w:val="21EC588F"/>
    <w:rsid w:val="21F90FE8"/>
    <w:rsid w:val="222A41F9"/>
    <w:rsid w:val="2257A51B"/>
    <w:rsid w:val="22FE90A2"/>
    <w:rsid w:val="230A8E7E"/>
    <w:rsid w:val="231A5604"/>
    <w:rsid w:val="236BC5DC"/>
    <w:rsid w:val="23BB46C4"/>
    <w:rsid w:val="23BEE464"/>
    <w:rsid w:val="244B7DC5"/>
    <w:rsid w:val="245DD487"/>
    <w:rsid w:val="2493A43E"/>
    <w:rsid w:val="24F2C117"/>
    <w:rsid w:val="251847D6"/>
    <w:rsid w:val="2558F383"/>
    <w:rsid w:val="25596182"/>
    <w:rsid w:val="25A1FF0C"/>
    <w:rsid w:val="25E5A986"/>
    <w:rsid w:val="2617DBD6"/>
    <w:rsid w:val="26238324"/>
    <w:rsid w:val="263D4516"/>
    <w:rsid w:val="264D13F1"/>
    <w:rsid w:val="26A1A7B9"/>
    <w:rsid w:val="26D88EFB"/>
    <w:rsid w:val="26EC7822"/>
    <w:rsid w:val="277B6F49"/>
    <w:rsid w:val="27868E56"/>
    <w:rsid w:val="2796EC6B"/>
    <w:rsid w:val="27DBD0FF"/>
    <w:rsid w:val="27E532CB"/>
    <w:rsid w:val="28326E04"/>
    <w:rsid w:val="285B7679"/>
    <w:rsid w:val="28A68639"/>
    <w:rsid w:val="28C4718F"/>
    <w:rsid w:val="28F6200D"/>
    <w:rsid w:val="291DCFA7"/>
    <w:rsid w:val="291EBFDF"/>
    <w:rsid w:val="2994386A"/>
    <w:rsid w:val="29A8A921"/>
    <w:rsid w:val="2A03FDF5"/>
    <w:rsid w:val="2A836F65"/>
    <w:rsid w:val="2AE29739"/>
    <w:rsid w:val="2B18C414"/>
    <w:rsid w:val="2B572B34"/>
    <w:rsid w:val="2B7D7193"/>
    <w:rsid w:val="2B88D1D6"/>
    <w:rsid w:val="2B984844"/>
    <w:rsid w:val="2BDDC7BC"/>
    <w:rsid w:val="2BF5D11A"/>
    <w:rsid w:val="2C6C4F2E"/>
    <w:rsid w:val="2CDE36D2"/>
    <w:rsid w:val="2CF3E0B8"/>
    <w:rsid w:val="2D297154"/>
    <w:rsid w:val="2DFD332E"/>
    <w:rsid w:val="2E6AE3C8"/>
    <w:rsid w:val="2E7B3CED"/>
    <w:rsid w:val="2EF6F52A"/>
    <w:rsid w:val="2F1E18B2"/>
    <w:rsid w:val="2F61A986"/>
    <w:rsid w:val="2FB7A200"/>
    <w:rsid w:val="30AB5FBB"/>
    <w:rsid w:val="315040F2"/>
    <w:rsid w:val="31BA1863"/>
    <w:rsid w:val="31CA8590"/>
    <w:rsid w:val="324C780F"/>
    <w:rsid w:val="3252242B"/>
    <w:rsid w:val="32672DB3"/>
    <w:rsid w:val="335A4B65"/>
    <w:rsid w:val="33A2E51B"/>
    <w:rsid w:val="33DBB8E1"/>
    <w:rsid w:val="342B2765"/>
    <w:rsid w:val="34313126"/>
    <w:rsid w:val="34316EB3"/>
    <w:rsid w:val="345CCF31"/>
    <w:rsid w:val="34A23560"/>
    <w:rsid w:val="34AE666E"/>
    <w:rsid w:val="34D0DD45"/>
    <w:rsid w:val="34ED28D2"/>
    <w:rsid w:val="34F7DDC0"/>
    <w:rsid w:val="34FE5C3D"/>
    <w:rsid w:val="3546C81F"/>
    <w:rsid w:val="35799081"/>
    <w:rsid w:val="3584EF26"/>
    <w:rsid w:val="35C46A4F"/>
    <w:rsid w:val="35C9766E"/>
    <w:rsid w:val="35DE922F"/>
    <w:rsid w:val="35FDED12"/>
    <w:rsid w:val="360C7ED9"/>
    <w:rsid w:val="3613FC34"/>
    <w:rsid w:val="361BBE4C"/>
    <w:rsid w:val="364166F3"/>
    <w:rsid w:val="3676772F"/>
    <w:rsid w:val="37108E4E"/>
    <w:rsid w:val="373FFE18"/>
    <w:rsid w:val="37EBB211"/>
    <w:rsid w:val="38655ABE"/>
    <w:rsid w:val="38AC72C0"/>
    <w:rsid w:val="3905B6BC"/>
    <w:rsid w:val="393C6CFD"/>
    <w:rsid w:val="395A8EA0"/>
    <w:rsid w:val="3989F9DB"/>
    <w:rsid w:val="398FD895"/>
    <w:rsid w:val="39B18116"/>
    <w:rsid w:val="39E92541"/>
    <w:rsid w:val="39F755A2"/>
    <w:rsid w:val="3A3D39CF"/>
    <w:rsid w:val="3A5A4E77"/>
    <w:rsid w:val="3ABB1778"/>
    <w:rsid w:val="3AD84D21"/>
    <w:rsid w:val="3B129F4C"/>
    <w:rsid w:val="3B47C5A5"/>
    <w:rsid w:val="3BBB1D25"/>
    <w:rsid w:val="3C07B90C"/>
    <w:rsid w:val="3C354337"/>
    <w:rsid w:val="3C40605A"/>
    <w:rsid w:val="3C4B5493"/>
    <w:rsid w:val="3C5D40DD"/>
    <w:rsid w:val="3C80F4C5"/>
    <w:rsid w:val="3D4E4256"/>
    <w:rsid w:val="3D6AB58B"/>
    <w:rsid w:val="3DB0AF7B"/>
    <w:rsid w:val="3DE511DA"/>
    <w:rsid w:val="3DF14793"/>
    <w:rsid w:val="3E6D78D0"/>
    <w:rsid w:val="3E7E4750"/>
    <w:rsid w:val="400DF07C"/>
    <w:rsid w:val="405D8D12"/>
    <w:rsid w:val="40728586"/>
    <w:rsid w:val="410C6EA8"/>
    <w:rsid w:val="41394607"/>
    <w:rsid w:val="416D2C5C"/>
    <w:rsid w:val="419A40C5"/>
    <w:rsid w:val="41F74750"/>
    <w:rsid w:val="420B0162"/>
    <w:rsid w:val="4233AA4D"/>
    <w:rsid w:val="4253FAF4"/>
    <w:rsid w:val="425FF8E4"/>
    <w:rsid w:val="426AF2DC"/>
    <w:rsid w:val="428C1C54"/>
    <w:rsid w:val="42909372"/>
    <w:rsid w:val="42A14FEE"/>
    <w:rsid w:val="42EA1069"/>
    <w:rsid w:val="435DD221"/>
    <w:rsid w:val="4376B90C"/>
    <w:rsid w:val="4393B89A"/>
    <w:rsid w:val="4438F7F5"/>
    <w:rsid w:val="45248801"/>
    <w:rsid w:val="4540A6A3"/>
    <w:rsid w:val="45B85057"/>
    <w:rsid w:val="45D42213"/>
    <w:rsid w:val="45D612DC"/>
    <w:rsid w:val="462637B7"/>
    <w:rsid w:val="465D2D53"/>
    <w:rsid w:val="46CAE462"/>
    <w:rsid w:val="46CF6C3A"/>
    <w:rsid w:val="470E5E2C"/>
    <w:rsid w:val="4735463D"/>
    <w:rsid w:val="473E3A0C"/>
    <w:rsid w:val="47751737"/>
    <w:rsid w:val="478E70F3"/>
    <w:rsid w:val="479A2017"/>
    <w:rsid w:val="47BA13F4"/>
    <w:rsid w:val="47E9C8BF"/>
    <w:rsid w:val="47FA9542"/>
    <w:rsid w:val="48187C66"/>
    <w:rsid w:val="486C7CDC"/>
    <w:rsid w:val="489C44A7"/>
    <w:rsid w:val="49C84C36"/>
    <w:rsid w:val="49FD1EF1"/>
    <w:rsid w:val="49FFC908"/>
    <w:rsid w:val="4A3C3314"/>
    <w:rsid w:val="4A7E18E7"/>
    <w:rsid w:val="4ABD74A5"/>
    <w:rsid w:val="4B05202D"/>
    <w:rsid w:val="4B32C15A"/>
    <w:rsid w:val="4B5F0027"/>
    <w:rsid w:val="4B91D592"/>
    <w:rsid w:val="4B9DDE0D"/>
    <w:rsid w:val="4BE19870"/>
    <w:rsid w:val="4BEFE3BB"/>
    <w:rsid w:val="4C79F02D"/>
    <w:rsid w:val="4CE220CF"/>
    <w:rsid w:val="4D2412B4"/>
    <w:rsid w:val="4D3E62C9"/>
    <w:rsid w:val="4F56D053"/>
    <w:rsid w:val="50759641"/>
    <w:rsid w:val="5093D19C"/>
    <w:rsid w:val="50BF5770"/>
    <w:rsid w:val="5117914F"/>
    <w:rsid w:val="514A8EAB"/>
    <w:rsid w:val="5158C894"/>
    <w:rsid w:val="51CD5E73"/>
    <w:rsid w:val="51D7199F"/>
    <w:rsid w:val="51DD0C4D"/>
    <w:rsid w:val="520DB63C"/>
    <w:rsid w:val="52947174"/>
    <w:rsid w:val="52BB4FEC"/>
    <w:rsid w:val="52C41EB8"/>
    <w:rsid w:val="5322D950"/>
    <w:rsid w:val="5335872E"/>
    <w:rsid w:val="53A8136B"/>
    <w:rsid w:val="53E989E5"/>
    <w:rsid w:val="53F1C1D1"/>
    <w:rsid w:val="542BA8C8"/>
    <w:rsid w:val="545A1653"/>
    <w:rsid w:val="5481B086"/>
    <w:rsid w:val="548E2058"/>
    <w:rsid w:val="54D6C690"/>
    <w:rsid w:val="552F93E0"/>
    <w:rsid w:val="5554F54C"/>
    <w:rsid w:val="55895CD1"/>
    <w:rsid w:val="559F0936"/>
    <w:rsid w:val="56658A3E"/>
    <w:rsid w:val="569BD85E"/>
    <w:rsid w:val="56AA9CFA"/>
    <w:rsid w:val="573DD642"/>
    <w:rsid w:val="57604187"/>
    <w:rsid w:val="57C8F3AA"/>
    <w:rsid w:val="57E35FC1"/>
    <w:rsid w:val="5805D92C"/>
    <w:rsid w:val="5821B84C"/>
    <w:rsid w:val="5859F97F"/>
    <w:rsid w:val="5873F9CB"/>
    <w:rsid w:val="58CD1E23"/>
    <w:rsid w:val="594C6B20"/>
    <w:rsid w:val="5967B2F8"/>
    <w:rsid w:val="59A37638"/>
    <w:rsid w:val="59C4B93C"/>
    <w:rsid w:val="59D9337E"/>
    <w:rsid w:val="5A0E31A9"/>
    <w:rsid w:val="5A22BEB7"/>
    <w:rsid w:val="5B1CE1B7"/>
    <w:rsid w:val="5B2505DD"/>
    <w:rsid w:val="5B74BB9D"/>
    <w:rsid w:val="5B9FBC90"/>
    <w:rsid w:val="5BE4A860"/>
    <w:rsid w:val="5CE95E17"/>
    <w:rsid w:val="5D00CF22"/>
    <w:rsid w:val="5D05A015"/>
    <w:rsid w:val="5D0CA51F"/>
    <w:rsid w:val="5D3AA729"/>
    <w:rsid w:val="5D570662"/>
    <w:rsid w:val="5D9C7D8B"/>
    <w:rsid w:val="5DB89A2B"/>
    <w:rsid w:val="5DE26BD8"/>
    <w:rsid w:val="5DFCFF5A"/>
    <w:rsid w:val="5E3919B5"/>
    <w:rsid w:val="5E694A27"/>
    <w:rsid w:val="5EC12CA6"/>
    <w:rsid w:val="5EF9924E"/>
    <w:rsid w:val="5FC413E2"/>
    <w:rsid w:val="5FF12E77"/>
    <w:rsid w:val="6012EB8C"/>
    <w:rsid w:val="6034D488"/>
    <w:rsid w:val="60478F67"/>
    <w:rsid w:val="605CE9A5"/>
    <w:rsid w:val="6089E1F2"/>
    <w:rsid w:val="60CEA76A"/>
    <w:rsid w:val="60D318F3"/>
    <w:rsid w:val="610E60C4"/>
    <w:rsid w:val="61921EF6"/>
    <w:rsid w:val="61A49D0F"/>
    <w:rsid w:val="61BA5188"/>
    <w:rsid w:val="61C0CD51"/>
    <w:rsid w:val="61EE30BB"/>
    <w:rsid w:val="61FAF528"/>
    <w:rsid w:val="6216CA7D"/>
    <w:rsid w:val="62508963"/>
    <w:rsid w:val="62591AB0"/>
    <w:rsid w:val="6262EF86"/>
    <w:rsid w:val="628204FD"/>
    <w:rsid w:val="62A659E6"/>
    <w:rsid w:val="62BC1597"/>
    <w:rsid w:val="62C63B50"/>
    <w:rsid w:val="62E42987"/>
    <w:rsid w:val="62E85D88"/>
    <w:rsid w:val="63B9D5EF"/>
    <w:rsid w:val="64642F0D"/>
    <w:rsid w:val="64A2011D"/>
    <w:rsid w:val="64CC6CB6"/>
    <w:rsid w:val="6531EC3F"/>
    <w:rsid w:val="653A3138"/>
    <w:rsid w:val="654C37D0"/>
    <w:rsid w:val="65D207F2"/>
    <w:rsid w:val="65D281D7"/>
    <w:rsid w:val="65D3F154"/>
    <w:rsid w:val="66B921C4"/>
    <w:rsid w:val="66BAD7F1"/>
    <w:rsid w:val="66C4F6D5"/>
    <w:rsid w:val="66F2E998"/>
    <w:rsid w:val="6743B8D8"/>
    <w:rsid w:val="675EC6D6"/>
    <w:rsid w:val="67622A0F"/>
    <w:rsid w:val="67768953"/>
    <w:rsid w:val="67EDA1DA"/>
    <w:rsid w:val="68F4BA6C"/>
    <w:rsid w:val="6A0C5032"/>
    <w:rsid w:val="6A674C11"/>
    <w:rsid w:val="6AA80905"/>
    <w:rsid w:val="6AA9C04C"/>
    <w:rsid w:val="6AEB9D1A"/>
    <w:rsid w:val="6B84DA7F"/>
    <w:rsid w:val="6C0B59C2"/>
    <w:rsid w:val="6C14C988"/>
    <w:rsid w:val="6CF3A42E"/>
    <w:rsid w:val="6D7934D1"/>
    <w:rsid w:val="6DF1D673"/>
    <w:rsid w:val="6E0E6361"/>
    <w:rsid w:val="6E36D5C5"/>
    <w:rsid w:val="6E43DEE2"/>
    <w:rsid w:val="6ECC40CB"/>
    <w:rsid w:val="6F50388A"/>
    <w:rsid w:val="6F8F7F7E"/>
    <w:rsid w:val="6FE39AD7"/>
    <w:rsid w:val="6FFF74E4"/>
    <w:rsid w:val="700398D0"/>
    <w:rsid w:val="70159012"/>
    <w:rsid w:val="701F53F1"/>
    <w:rsid w:val="703A2A73"/>
    <w:rsid w:val="70818C0C"/>
    <w:rsid w:val="7095D7A1"/>
    <w:rsid w:val="70E650F6"/>
    <w:rsid w:val="717E0078"/>
    <w:rsid w:val="71A30C66"/>
    <w:rsid w:val="71E2BCEE"/>
    <w:rsid w:val="71EAED6E"/>
    <w:rsid w:val="71FE8244"/>
    <w:rsid w:val="7207DB35"/>
    <w:rsid w:val="72602B9F"/>
    <w:rsid w:val="7346C265"/>
    <w:rsid w:val="735062E0"/>
    <w:rsid w:val="735D0E54"/>
    <w:rsid w:val="73BE4AA4"/>
    <w:rsid w:val="744E5DA4"/>
    <w:rsid w:val="745FFE62"/>
    <w:rsid w:val="74813E93"/>
    <w:rsid w:val="74C7E96B"/>
    <w:rsid w:val="74D315D4"/>
    <w:rsid w:val="74D556D5"/>
    <w:rsid w:val="754CBFD6"/>
    <w:rsid w:val="758C6888"/>
    <w:rsid w:val="75E1F746"/>
    <w:rsid w:val="7632734A"/>
    <w:rsid w:val="769B6BB1"/>
    <w:rsid w:val="76A5B620"/>
    <w:rsid w:val="76E57278"/>
    <w:rsid w:val="76FEF14C"/>
    <w:rsid w:val="771D5C90"/>
    <w:rsid w:val="7729F6D2"/>
    <w:rsid w:val="77AB5190"/>
    <w:rsid w:val="77ACA5A0"/>
    <w:rsid w:val="7847F10B"/>
    <w:rsid w:val="785088E0"/>
    <w:rsid w:val="789116D6"/>
    <w:rsid w:val="78B41AA9"/>
    <w:rsid w:val="78BC30E1"/>
    <w:rsid w:val="792087A7"/>
    <w:rsid w:val="79596998"/>
    <w:rsid w:val="7993AFB2"/>
    <w:rsid w:val="79983ED9"/>
    <w:rsid w:val="79D86130"/>
    <w:rsid w:val="79E7561B"/>
    <w:rsid w:val="7A19FA58"/>
    <w:rsid w:val="7A48BE18"/>
    <w:rsid w:val="7AECAE58"/>
    <w:rsid w:val="7B0FBC15"/>
    <w:rsid w:val="7B25177F"/>
    <w:rsid w:val="7B8D50BA"/>
    <w:rsid w:val="7B9CC0C9"/>
    <w:rsid w:val="7C742D0E"/>
    <w:rsid w:val="7CBC8825"/>
    <w:rsid w:val="7CE8C4BF"/>
    <w:rsid w:val="7CFCF1E3"/>
    <w:rsid w:val="7D4D4955"/>
    <w:rsid w:val="7D6959BB"/>
    <w:rsid w:val="7D8BD718"/>
    <w:rsid w:val="7D9D2B5C"/>
    <w:rsid w:val="7E51C205"/>
    <w:rsid w:val="7E5211BE"/>
    <w:rsid w:val="7E9A35C2"/>
    <w:rsid w:val="7EB5ECD0"/>
    <w:rsid w:val="7EE4178C"/>
    <w:rsid w:val="7F2DD512"/>
    <w:rsid w:val="7F7203F4"/>
    <w:rsid w:val="7FF23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CA66"/>
  <w15:chartTrackingRefBased/>
  <w15:docId w15:val="{343D7513-35E8-47C3-8830-8B593EF2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F33"/>
    <w:pPr>
      <w:ind w:left="1080" w:hanging="360"/>
    </w:pPr>
  </w:style>
  <w:style w:type="paragraph" w:styleId="Heading1">
    <w:name w:val="heading 1"/>
    <w:basedOn w:val="Normal"/>
    <w:next w:val="Normal"/>
    <w:link w:val="Heading1Char"/>
    <w:uiPriority w:val="9"/>
    <w:qFormat/>
    <w:rsid w:val="00F43CEA"/>
    <w:pPr>
      <w:keepNext/>
      <w:keepLines/>
      <w:numPr>
        <w:numId w:val="15"/>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CEA"/>
    <w:pPr>
      <w:keepNext/>
      <w:keepLines/>
      <w:numPr>
        <w:ilvl w:val="1"/>
        <w:numId w:val="15"/>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C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C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C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C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C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C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C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C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C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C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C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C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CEA"/>
    <w:rPr>
      <w:rFonts w:eastAsiaTheme="majorEastAsia" w:cstheme="majorBidi"/>
      <w:color w:val="272727" w:themeColor="text1" w:themeTint="D8"/>
    </w:rPr>
  </w:style>
  <w:style w:type="paragraph" w:styleId="Title">
    <w:name w:val="Title"/>
    <w:basedOn w:val="Normal"/>
    <w:next w:val="Normal"/>
    <w:link w:val="TitleChar"/>
    <w:uiPriority w:val="10"/>
    <w:qFormat/>
    <w:rsid w:val="00F43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CEA"/>
    <w:pPr>
      <w:ind w:left="0" w:firstLine="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CEA"/>
    <w:pPr>
      <w:spacing w:before="160"/>
      <w:jc w:val="center"/>
    </w:pPr>
    <w:rPr>
      <w:i/>
      <w:iCs/>
      <w:color w:val="404040" w:themeColor="text1" w:themeTint="BF"/>
    </w:rPr>
  </w:style>
  <w:style w:type="character" w:customStyle="1" w:styleId="QuoteChar">
    <w:name w:val="Quote Char"/>
    <w:basedOn w:val="DefaultParagraphFont"/>
    <w:link w:val="Quote"/>
    <w:uiPriority w:val="29"/>
    <w:rsid w:val="00F43CEA"/>
    <w:rPr>
      <w:i/>
      <w:iCs/>
      <w:color w:val="404040" w:themeColor="text1" w:themeTint="BF"/>
    </w:rPr>
  </w:style>
  <w:style w:type="paragraph" w:styleId="ListParagraph">
    <w:name w:val="List Paragraph"/>
    <w:basedOn w:val="Normal"/>
    <w:uiPriority w:val="34"/>
    <w:qFormat/>
    <w:rsid w:val="00F43CEA"/>
    <w:pPr>
      <w:ind w:left="720"/>
      <w:contextualSpacing/>
    </w:pPr>
  </w:style>
  <w:style w:type="character" w:styleId="IntenseEmphasis">
    <w:name w:val="Intense Emphasis"/>
    <w:basedOn w:val="DefaultParagraphFont"/>
    <w:uiPriority w:val="21"/>
    <w:qFormat/>
    <w:rsid w:val="00F43CEA"/>
    <w:rPr>
      <w:i/>
      <w:iCs/>
      <w:color w:val="0F4761" w:themeColor="accent1" w:themeShade="BF"/>
    </w:rPr>
  </w:style>
  <w:style w:type="paragraph" w:styleId="IntenseQuote">
    <w:name w:val="Intense Quote"/>
    <w:basedOn w:val="Normal"/>
    <w:next w:val="Normal"/>
    <w:link w:val="IntenseQuoteChar"/>
    <w:uiPriority w:val="30"/>
    <w:qFormat/>
    <w:rsid w:val="00F43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CEA"/>
    <w:rPr>
      <w:i/>
      <w:iCs/>
      <w:color w:val="0F4761" w:themeColor="accent1" w:themeShade="BF"/>
    </w:rPr>
  </w:style>
  <w:style w:type="character" w:styleId="IntenseReference">
    <w:name w:val="Intense Reference"/>
    <w:basedOn w:val="DefaultParagraphFont"/>
    <w:uiPriority w:val="32"/>
    <w:qFormat/>
    <w:rsid w:val="00F43CEA"/>
    <w:rPr>
      <w:b/>
      <w:bCs/>
      <w:smallCaps/>
      <w:color w:val="0F4761" w:themeColor="accent1" w:themeShade="BF"/>
      <w:spacing w:val="5"/>
    </w:rPr>
  </w:style>
  <w:style w:type="character" w:styleId="Hyperlink">
    <w:name w:val="Hyperlink"/>
    <w:basedOn w:val="DefaultParagraphFont"/>
    <w:uiPriority w:val="99"/>
    <w:unhideWhenUsed/>
    <w:rsid w:val="009656AD"/>
    <w:rPr>
      <w:color w:val="467886" w:themeColor="hyperlink"/>
      <w:u w:val="single"/>
    </w:rPr>
  </w:style>
  <w:style w:type="character" w:styleId="UnresolvedMention">
    <w:name w:val="Unresolved Mention"/>
    <w:basedOn w:val="DefaultParagraphFont"/>
    <w:uiPriority w:val="99"/>
    <w:semiHidden/>
    <w:unhideWhenUsed/>
    <w:rsid w:val="009656AD"/>
    <w:rPr>
      <w:color w:val="605E5C"/>
      <w:shd w:val="clear" w:color="auto" w:fill="E1DFDD"/>
    </w:rPr>
  </w:style>
  <w:style w:type="paragraph" w:styleId="NormalWeb">
    <w:name w:val="Normal (Web)"/>
    <w:basedOn w:val="Normal"/>
    <w:uiPriority w:val="99"/>
    <w:semiHidden/>
    <w:unhideWhenUsed/>
    <w:rsid w:val="00345ED3"/>
    <w:pPr>
      <w:spacing w:before="120" w:after="120" w:line="240" w:lineRule="auto"/>
      <w:ind w:left="0" w:firstLine="0"/>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CC16D7"/>
    <w:rPr>
      <w:color w:val="96607D" w:themeColor="followedHyperlink"/>
      <w:u w:val="single"/>
    </w:rPr>
  </w:style>
  <w:style w:type="character" w:styleId="CommentReference">
    <w:name w:val="annotation reference"/>
    <w:basedOn w:val="DefaultParagraphFont"/>
    <w:uiPriority w:val="99"/>
    <w:semiHidden/>
    <w:unhideWhenUsed/>
    <w:rsid w:val="00914FD8"/>
    <w:rPr>
      <w:sz w:val="16"/>
      <w:szCs w:val="16"/>
    </w:rPr>
  </w:style>
  <w:style w:type="paragraph" w:styleId="CommentText">
    <w:name w:val="annotation text"/>
    <w:basedOn w:val="Normal"/>
    <w:link w:val="CommentTextChar"/>
    <w:uiPriority w:val="99"/>
    <w:unhideWhenUsed/>
    <w:rsid w:val="00914FD8"/>
    <w:pPr>
      <w:spacing w:line="240" w:lineRule="auto"/>
    </w:pPr>
    <w:rPr>
      <w:sz w:val="20"/>
      <w:szCs w:val="20"/>
    </w:rPr>
  </w:style>
  <w:style w:type="character" w:customStyle="1" w:styleId="CommentTextChar">
    <w:name w:val="Comment Text Char"/>
    <w:basedOn w:val="DefaultParagraphFont"/>
    <w:link w:val="CommentText"/>
    <w:uiPriority w:val="99"/>
    <w:rsid w:val="00914FD8"/>
    <w:rPr>
      <w:sz w:val="20"/>
      <w:szCs w:val="20"/>
    </w:rPr>
  </w:style>
  <w:style w:type="paragraph" w:styleId="CommentSubject">
    <w:name w:val="annotation subject"/>
    <w:basedOn w:val="CommentText"/>
    <w:next w:val="CommentText"/>
    <w:link w:val="CommentSubjectChar"/>
    <w:uiPriority w:val="99"/>
    <w:semiHidden/>
    <w:unhideWhenUsed/>
    <w:rsid w:val="00914FD8"/>
    <w:rPr>
      <w:b/>
      <w:bCs/>
    </w:rPr>
  </w:style>
  <w:style w:type="character" w:customStyle="1" w:styleId="CommentSubjectChar">
    <w:name w:val="Comment Subject Char"/>
    <w:basedOn w:val="CommentTextChar"/>
    <w:link w:val="CommentSubject"/>
    <w:uiPriority w:val="99"/>
    <w:semiHidden/>
    <w:rsid w:val="00914FD8"/>
    <w:rPr>
      <w:b/>
      <w:bCs/>
      <w:sz w:val="20"/>
      <w:szCs w:val="20"/>
    </w:rPr>
  </w:style>
  <w:style w:type="table" w:styleId="TableGrid">
    <w:name w:val="Table Grid"/>
    <w:basedOn w:val="TableNormal"/>
    <w:uiPriority w:val="39"/>
    <w:rsid w:val="002C0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56F6B"/>
    <w:pPr>
      <w:spacing w:before="100" w:beforeAutospacing="1" w:after="100" w:afterAutospacing="1" w:line="240" w:lineRule="auto"/>
      <w:ind w:left="0" w:firstLine="0"/>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56F6B"/>
  </w:style>
  <w:style w:type="character" w:customStyle="1" w:styleId="eop">
    <w:name w:val="eop"/>
    <w:basedOn w:val="DefaultParagraphFont"/>
    <w:rsid w:val="00F56F6B"/>
  </w:style>
  <w:style w:type="paragraph" w:styleId="BodyText">
    <w:name w:val="Body Text"/>
    <w:basedOn w:val="Normal"/>
    <w:link w:val="BodyTextChar"/>
    <w:uiPriority w:val="99"/>
    <w:semiHidden/>
    <w:unhideWhenUsed/>
    <w:rsid w:val="00C07D0E"/>
    <w:pPr>
      <w:spacing w:after="120"/>
    </w:pPr>
  </w:style>
  <w:style w:type="character" w:customStyle="1" w:styleId="BodyTextChar">
    <w:name w:val="Body Text Char"/>
    <w:basedOn w:val="DefaultParagraphFont"/>
    <w:link w:val="BodyText"/>
    <w:uiPriority w:val="99"/>
    <w:semiHidden/>
    <w:rsid w:val="00C07D0E"/>
  </w:style>
  <w:style w:type="character" w:styleId="Mention">
    <w:name w:val="Mention"/>
    <w:basedOn w:val="DefaultParagraphFont"/>
    <w:uiPriority w:val="99"/>
    <w:unhideWhenUsed/>
    <w:rsid w:val="00CD1C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1208">
      <w:bodyDiv w:val="1"/>
      <w:marLeft w:val="0"/>
      <w:marRight w:val="0"/>
      <w:marTop w:val="0"/>
      <w:marBottom w:val="0"/>
      <w:divBdr>
        <w:top w:val="none" w:sz="0" w:space="0" w:color="auto"/>
        <w:left w:val="none" w:sz="0" w:space="0" w:color="auto"/>
        <w:bottom w:val="none" w:sz="0" w:space="0" w:color="auto"/>
        <w:right w:val="none" w:sz="0" w:space="0" w:color="auto"/>
      </w:divBdr>
    </w:div>
    <w:div w:id="105740408">
      <w:bodyDiv w:val="1"/>
      <w:marLeft w:val="0"/>
      <w:marRight w:val="0"/>
      <w:marTop w:val="0"/>
      <w:marBottom w:val="0"/>
      <w:divBdr>
        <w:top w:val="none" w:sz="0" w:space="0" w:color="auto"/>
        <w:left w:val="none" w:sz="0" w:space="0" w:color="auto"/>
        <w:bottom w:val="none" w:sz="0" w:space="0" w:color="auto"/>
        <w:right w:val="none" w:sz="0" w:space="0" w:color="auto"/>
      </w:divBdr>
    </w:div>
    <w:div w:id="124080678">
      <w:bodyDiv w:val="1"/>
      <w:marLeft w:val="0"/>
      <w:marRight w:val="0"/>
      <w:marTop w:val="0"/>
      <w:marBottom w:val="0"/>
      <w:divBdr>
        <w:top w:val="none" w:sz="0" w:space="0" w:color="auto"/>
        <w:left w:val="none" w:sz="0" w:space="0" w:color="auto"/>
        <w:bottom w:val="none" w:sz="0" w:space="0" w:color="auto"/>
        <w:right w:val="none" w:sz="0" w:space="0" w:color="auto"/>
      </w:divBdr>
    </w:div>
    <w:div w:id="139229071">
      <w:bodyDiv w:val="1"/>
      <w:marLeft w:val="0"/>
      <w:marRight w:val="0"/>
      <w:marTop w:val="0"/>
      <w:marBottom w:val="0"/>
      <w:divBdr>
        <w:top w:val="none" w:sz="0" w:space="0" w:color="auto"/>
        <w:left w:val="none" w:sz="0" w:space="0" w:color="auto"/>
        <w:bottom w:val="none" w:sz="0" w:space="0" w:color="auto"/>
        <w:right w:val="none" w:sz="0" w:space="0" w:color="auto"/>
      </w:divBdr>
      <w:divsChild>
        <w:div w:id="350106077">
          <w:marLeft w:val="0"/>
          <w:marRight w:val="0"/>
          <w:marTop w:val="0"/>
          <w:marBottom w:val="0"/>
          <w:divBdr>
            <w:top w:val="none" w:sz="0" w:space="0" w:color="auto"/>
            <w:left w:val="none" w:sz="0" w:space="0" w:color="auto"/>
            <w:bottom w:val="none" w:sz="0" w:space="0" w:color="auto"/>
            <w:right w:val="none" w:sz="0" w:space="0" w:color="auto"/>
          </w:divBdr>
          <w:divsChild>
            <w:div w:id="59518850">
              <w:marLeft w:val="-75"/>
              <w:marRight w:val="0"/>
              <w:marTop w:val="30"/>
              <w:marBottom w:val="30"/>
              <w:divBdr>
                <w:top w:val="none" w:sz="0" w:space="0" w:color="auto"/>
                <w:left w:val="none" w:sz="0" w:space="0" w:color="auto"/>
                <w:bottom w:val="none" w:sz="0" w:space="0" w:color="auto"/>
                <w:right w:val="none" w:sz="0" w:space="0" w:color="auto"/>
              </w:divBdr>
              <w:divsChild>
                <w:div w:id="387801301">
                  <w:marLeft w:val="0"/>
                  <w:marRight w:val="0"/>
                  <w:marTop w:val="0"/>
                  <w:marBottom w:val="0"/>
                  <w:divBdr>
                    <w:top w:val="none" w:sz="0" w:space="0" w:color="auto"/>
                    <w:left w:val="none" w:sz="0" w:space="0" w:color="auto"/>
                    <w:bottom w:val="none" w:sz="0" w:space="0" w:color="auto"/>
                    <w:right w:val="none" w:sz="0" w:space="0" w:color="auto"/>
                  </w:divBdr>
                  <w:divsChild>
                    <w:div w:id="1524785723">
                      <w:marLeft w:val="0"/>
                      <w:marRight w:val="0"/>
                      <w:marTop w:val="0"/>
                      <w:marBottom w:val="0"/>
                      <w:divBdr>
                        <w:top w:val="none" w:sz="0" w:space="0" w:color="auto"/>
                        <w:left w:val="none" w:sz="0" w:space="0" w:color="auto"/>
                        <w:bottom w:val="none" w:sz="0" w:space="0" w:color="auto"/>
                        <w:right w:val="none" w:sz="0" w:space="0" w:color="auto"/>
                      </w:divBdr>
                    </w:div>
                  </w:divsChild>
                </w:div>
                <w:div w:id="478352552">
                  <w:marLeft w:val="0"/>
                  <w:marRight w:val="0"/>
                  <w:marTop w:val="0"/>
                  <w:marBottom w:val="0"/>
                  <w:divBdr>
                    <w:top w:val="none" w:sz="0" w:space="0" w:color="auto"/>
                    <w:left w:val="none" w:sz="0" w:space="0" w:color="auto"/>
                    <w:bottom w:val="none" w:sz="0" w:space="0" w:color="auto"/>
                    <w:right w:val="none" w:sz="0" w:space="0" w:color="auto"/>
                  </w:divBdr>
                  <w:divsChild>
                    <w:div w:id="1949238136">
                      <w:marLeft w:val="0"/>
                      <w:marRight w:val="0"/>
                      <w:marTop w:val="0"/>
                      <w:marBottom w:val="0"/>
                      <w:divBdr>
                        <w:top w:val="none" w:sz="0" w:space="0" w:color="auto"/>
                        <w:left w:val="none" w:sz="0" w:space="0" w:color="auto"/>
                        <w:bottom w:val="none" w:sz="0" w:space="0" w:color="auto"/>
                        <w:right w:val="none" w:sz="0" w:space="0" w:color="auto"/>
                      </w:divBdr>
                    </w:div>
                  </w:divsChild>
                </w:div>
                <w:div w:id="1424448220">
                  <w:marLeft w:val="0"/>
                  <w:marRight w:val="0"/>
                  <w:marTop w:val="0"/>
                  <w:marBottom w:val="0"/>
                  <w:divBdr>
                    <w:top w:val="none" w:sz="0" w:space="0" w:color="auto"/>
                    <w:left w:val="none" w:sz="0" w:space="0" w:color="auto"/>
                    <w:bottom w:val="none" w:sz="0" w:space="0" w:color="auto"/>
                    <w:right w:val="none" w:sz="0" w:space="0" w:color="auto"/>
                  </w:divBdr>
                  <w:divsChild>
                    <w:div w:id="1619331555">
                      <w:marLeft w:val="0"/>
                      <w:marRight w:val="0"/>
                      <w:marTop w:val="0"/>
                      <w:marBottom w:val="0"/>
                      <w:divBdr>
                        <w:top w:val="none" w:sz="0" w:space="0" w:color="auto"/>
                        <w:left w:val="none" w:sz="0" w:space="0" w:color="auto"/>
                        <w:bottom w:val="none" w:sz="0" w:space="0" w:color="auto"/>
                        <w:right w:val="none" w:sz="0" w:space="0" w:color="auto"/>
                      </w:divBdr>
                    </w:div>
                  </w:divsChild>
                </w:div>
                <w:div w:id="2096319659">
                  <w:marLeft w:val="0"/>
                  <w:marRight w:val="0"/>
                  <w:marTop w:val="0"/>
                  <w:marBottom w:val="0"/>
                  <w:divBdr>
                    <w:top w:val="none" w:sz="0" w:space="0" w:color="auto"/>
                    <w:left w:val="none" w:sz="0" w:space="0" w:color="auto"/>
                    <w:bottom w:val="none" w:sz="0" w:space="0" w:color="auto"/>
                    <w:right w:val="none" w:sz="0" w:space="0" w:color="auto"/>
                  </w:divBdr>
                  <w:divsChild>
                    <w:div w:id="3788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3385">
          <w:marLeft w:val="0"/>
          <w:marRight w:val="0"/>
          <w:marTop w:val="0"/>
          <w:marBottom w:val="0"/>
          <w:divBdr>
            <w:top w:val="none" w:sz="0" w:space="0" w:color="auto"/>
            <w:left w:val="none" w:sz="0" w:space="0" w:color="auto"/>
            <w:bottom w:val="none" w:sz="0" w:space="0" w:color="auto"/>
            <w:right w:val="none" w:sz="0" w:space="0" w:color="auto"/>
          </w:divBdr>
          <w:divsChild>
            <w:div w:id="23211683">
              <w:marLeft w:val="0"/>
              <w:marRight w:val="0"/>
              <w:marTop w:val="0"/>
              <w:marBottom w:val="0"/>
              <w:divBdr>
                <w:top w:val="none" w:sz="0" w:space="0" w:color="auto"/>
                <w:left w:val="none" w:sz="0" w:space="0" w:color="auto"/>
                <w:bottom w:val="none" w:sz="0" w:space="0" w:color="auto"/>
                <w:right w:val="none" w:sz="0" w:space="0" w:color="auto"/>
              </w:divBdr>
            </w:div>
            <w:div w:id="568224407">
              <w:marLeft w:val="0"/>
              <w:marRight w:val="0"/>
              <w:marTop w:val="0"/>
              <w:marBottom w:val="0"/>
              <w:divBdr>
                <w:top w:val="none" w:sz="0" w:space="0" w:color="auto"/>
                <w:left w:val="none" w:sz="0" w:space="0" w:color="auto"/>
                <w:bottom w:val="none" w:sz="0" w:space="0" w:color="auto"/>
                <w:right w:val="none" w:sz="0" w:space="0" w:color="auto"/>
              </w:divBdr>
            </w:div>
            <w:div w:id="997154224">
              <w:marLeft w:val="0"/>
              <w:marRight w:val="0"/>
              <w:marTop w:val="0"/>
              <w:marBottom w:val="0"/>
              <w:divBdr>
                <w:top w:val="none" w:sz="0" w:space="0" w:color="auto"/>
                <w:left w:val="none" w:sz="0" w:space="0" w:color="auto"/>
                <w:bottom w:val="none" w:sz="0" w:space="0" w:color="auto"/>
                <w:right w:val="none" w:sz="0" w:space="0" w:color="auto"/>
              </w:divBdr>
            </w:div>
            <w:div w:id="1276406961">
              <w:marLeft w:val="0"/>
              <w:marRight w:val="0"/>
              <w:marTop w:val="0"/>
              <w:marBottom w:val="0"/>
              <w:divBdr>
                <w:top w:val="none" w:sz="0" w:space="0" w:color="auto"/>
                <w:left w:val="none" w:sz="0" w:space="0" w:color="auto"/>
                <w:bottom w:val="none" w:sz="0" w:space="0" w:color="auto"/>
                <w:right w:val="none" w:sz="0" w:space="0" w:color="auto"/>
              </w:divBdr>
            </w:div>
            <w:div w:id="1821656185">
              <w:marLeft w:val="0"/>
              <w:marRight w:val="0"/>
              <w:marTop w:val="0"/>
              <w:marBottom w:val="0"/>
              <w:divBdr>
                <w:top w:val="none" w:sz="0" w:space="0" w:color="auto"/>
                <w:left w:val="none" w:sz="0" w:space="0" w:color="auto"/>
                <w:bottom w:val="none" w:sz="0" w:space="0" w:color="auto"/>
                <w:right w:val="none" w:sz="0" w:space="0" w:color="auto"/>
              </w:divBdr>
            </w:div>
            <w:div w:id="194773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0079">
      <w:bodyDiv w:val="1"/>
      <w:marLeft w:val="0"/>
      <w:marRight w:val="0"/>
      <w:marTop w:val="0"/>
      <w:marBottom w:val="0"/>
      <w:divBdr>
        <w:top w:val="none" w:sz="0" w:space="0" w:color="auto"/>
        <w:left w:val="none" w:sz="0" w:space="0" w:color="auto"/>
        <w:bottom w:val="none" w:sz="0" w:space="0" w:color="auto"/>
        <w:right w:val="none" w:sz="0" w:space="0" w:color="auto"/>
      </w:divBdr>
    </w:div>
    <w:div w:id="202400019">
      <w:bodyDiv w:val="1"/>
      <w:marLeft w:val="0"/>
      <w:marRight w:val="0"/>
      <w:marTop w:val="0"/>
      <w:marBottom w:val="0"/>
      <w:divBdr>
        <w:top w:val="none" w:sz="0" w:space="0" w:color="auto"/>
        <w:left w:val="none" w:sz="0" w:space="0" w:color="auto"/>
        <w:bottom w:val="none" w:sz="0" w:space="0" w:color="auto"/>
        <w:right w:val="none" w:sz="0" w:space="0" w:color="auto"/>
      </w:divBdr>
    </w:div>
    <w:div w:id="251747097">
      <w:bodyDiv w:val="1"/>
      <w:marLeft w:val="0"/>
      <w:marRight w:val="0"/>
      <w:marTop w:val="0"/>
      <w:marBottom w:val="0"/>
      <w:divBdr>
        <w:top w:val="none" w:sz="0" w:space="0" w:color="auto"/>
        <w:left w:val="none" w:sz="0" w:space="0" w:color="auto"/>
        <w:bottom w:val="none" w:sz="0" w:space="0" w:color="auto"/>
        <w:right w:val="none" w:sz="0" w:space="0" w:color="auto"/>
      </w:divBdr>
    </w:div>
    <w:div w:id="280773298">
      <w:bodyDiv w:val="1"/>
      <w:marLeft w:val="0"/>
      <w:marRight w:val="0"/>
      <w:marTop w:val="0"/>
      <w:marBottom w:val="0"/>
      <w:divBdr>
        <w:top w:val="none" w:sz="0" w:space="0" w:color="auto"/>
        <w:left w:val="none" w:sz="0" w:space="0" w:color="auto"/>
        <w:bottom w:val="none" w:sz="0" w:space="0" w:color="auto"/>
        <w:right w:val="none" w:sz="0" w:space="0" w:color="auto"/>
      </w:divBdr>
    </w:div>
    <w:div w:id="284117888">
      <w:bodyDiv w:val="1"/>
      <w:marLeft w:val="0"/>
      <w:marRight w:val="0"/>
      <w:marTop w:val="0"/>
      <w:marBottom w:val="0"/>
      <w:divBdr>
        <w:top w:val="none" w:sz="0" w:space="0" w:color="auto"/>
        <w:left w:val="none" w:sz="0" w:space="0" w:color="auto"/>
        <w:bottom w:val="none" w:sz="0" w:space="0" w:color="auto"/>
        <w:right w:val="none" w:sz="0" w:space="0" w:color="auto"/>
      </w:divBdr>
    </w:div>
    <w:div w:id="367264375">
      <w:bodyDiv w:val="1"/>
      <w:marLeft w:val="0"/>
      <w:marRight w:val="0"/>
      <w:marTop w:val="0"/>
      <w:marBottom w:val="0"/>
      <w:divBdr>
        <w:top w:val="none" w:sz="0" w:space="0" w:color="auto"/>
        <w:left w:val="none" w:sz="0" w:space="0" w:color="auto"/>
        <w:bottom w:val="none" w:sz="0" w:space="0" w:color="auto"/>
        <w:right w:val="none" w:sz="0" w:space="0" w:color="auto"/>
      </w:divBdr>
    </w:div>
    <w:div w:id="373312283">
      <w:bodyDiv w:val="1"/>
      <w:marLeft w:val="0"/>
      <w:marRight w:val="0"/>
      <w:marTop w:val="0"/>
      <w:marBottom w:val="0"/>
      <w:divBdr>
        <w:top w:val="none" w:sz="0" w:space="0" w:color="auto"/>
        <w:left w:val="none" w:sz="0" w:space="0" w:color="auto"/>
        <w:bottom w:val="none" w:sz="0" w:space="0" w:color="auto"/>
        <w:right w:val="none" w:sz="0" w:space="0" w:color="auto"/>
      </w:divBdr>
    </w:div>
    <w:div w:id="426266408">
      <w:bodyDiv w:val="1"/>
      <w:marLeft w:val="0"/>
      <w:marRight w:val="0"/>
      <w:marTop w:val="0"/>
      <w:marBottom w:val="0"/>
      <w:divBdr>
        <w:top w:val="none" w:sz="0" w:space="0" w:color="auto"/>
        <w:left w:val="none" w:sz="0" w:space="0" w:color="auto"/>
        <w:bottom w:val="none" w:sz="0" w:space="0" w:color="auto"/>
        <w:right w:val="none" w:sz="0" w:space="0" w:color="auto"/>
      </w:divBdr>
    </w:div>
    <w:div w:id="439882119">
      <w:bodyDiv w:val="1"/>
      <w:marLeft w:val="0"/>
      <w:marRight w:val="0"/>
      <w:marTop w:val="0"/>
      <w:marBottom w:val="0"/>
      <w:divBdr>
        <w:top w:val="none" w:sz="0" w:space="0" w:color="auto"/>
        <w:left w:val="none" w:sz="0" w:space="0" w:color="auto"/>
        <w:bottom w:val="none" w:sz="0" w:space="0" w:color="auto"/>
        <w:right w:val="none" w:sz="0" w:space="0" w:color="auto"/>
      </w:divBdr>
      <w:divsChild>
        <w:div w:id="375860239">
          <w:marLeft w:val="0"/>
          <w:marRight w:val="0"/>
          <w:marTop w:val="0"/>
          <w:marBottom w:val="0"/>
          <w:divBdr>
            <w:top w:val="none" w:sz="0" w:space="0" w:color="auto"/>
            <w:left w:val="none" w:sz="0" w:space="0" w:color="auto"/>
            <w:bottom w:val="none" w:sz="0" w:space="0" w:color="auto"/>
            <w:right w:val="none" w:sz="0" w:space="0" w:color="auto"/>
          </w:divBdr>
          <w:divsChild>
            <w:div w:id="109058608">
              <w:marLeft w:val="0"/>
              <w:marRight w:val="0"/>
              <w:marTop w:val="0"/>
              <w:marBottom w:val="0"/>
              <w:divBdr>
                <w:top w:val="none" w:sz="0" w:space="0" w:color="auto"/>
                <w:left w:val="none" w:sz="0" w:space="0" w:color="auto"/>
                <w:bottom w:val="none" w:sz="0" w:space="0" w:color="auto"/>
                <w:right w:val="none" w:sz="0" w:space="0" w:color="auto"/>
              </w:divBdr>
            </w:div>
            <w:div w:id="819423408">
              <w:marLeft w:val="0"/>
              <w:marRight w:val="0"/>
              <w:marTop w:val="0"/>
              <w:marBottom w:val="0"/>
              <w:divBdr>
                <w:top w:val="none" w:sz="0" w:space="0" w:color="auto"/>
                <w:left w:val="none" w:sz="0" w:space="0" w:color="auto"/>
                <w:bottom w:val="none" w:sz="0" w:space="0" w:color="auto"/>
                <w:right w:val="none" w:sz="0" w:space="0" w:color="auto"/>
              </w:divBdr>
            </w:div>
            <w:div w:id="1069771954">
              <w:marLeft w:val="0"/>
              <w:marRight w:val="0"/>
              <w:marTop w:val="0"/>
              <w:marBottom w:val="0"/>
              <w:divBdr>
                <w:top w:val="none" w:sz="0" w:space="0" w:color="auto"/>
                <w:left w:val="none" w:sz="0" w:space="0" w:color="auto"/>
                <w:bottom w:val="none" w:sz="0" w:space="0" w:color="auto"/>
                <w:right w:val="none" w:sz="0" w:space="0" w:color="auto"/>
              </w:divBdr>
            </w:div>
            <w:div w:id="1153830856">
              <w:marLeft w:val="0"/>
              <w:marRight w:val="0"/>
              <w:marTop w:val="0"/>
              <w:marBottom w:val="0"/>
              <w:divBdr>
                <w:top w:val="none" w:sz="0" w:space="0" w:color="auto"/>
                <w:left w:val="none" w:sz="0" w:space="0" w:color="auto"/>
                <w:bottom w:val="none" w:sz="0" w:space="0" w:color="auto"/>
                <w:right w:val="none" w:sz="0" w:space="0" w:color="auto"/>
              </w:divBdr>
            </w:div>
            <w:div w:id="1190797416">
              <w:marLeft w:val="0"/>
              <w:marRight w:val="0"/>
              <w:marTop w:val="0"/>
              <w:marBottom w:val="0"/>
              <w:divBdr>
                <w:top w:val="none" w:sz="0" w:space="0" w:color="auto"/>
                <w:left w:val="none" w:sz="0" w:space="0" w:color="auto"/>
                <w:bottom w:val="none" w:sz="0" w:space="0" w:color="auto"/>
                <w:right w:val="none" w:sz="0" w:space="0" w:color="auto"/>
              </w:divBdr>
            </w:div>
            <w:div w:id="1294364763">
              <w:marLeft w:val="0"/>
              <w:marRight w:val="0"/>
              <w:marTop w:val="0"/>
              <w:marBottom w:val="0"/>
              <w:divBdr>
                <w:top w:val="none" w:sz="0" w:space="0" w:color="auto"/>
                <w:left w:val="none" w:sz="0" w:space="0" w:color="auto"/>
                <w:bottom w:val="none" w:sz="0" w:space="0" w:color="auto"/>
                <w:right w:val="none" w:sz="0" w:space="0" w:color="auto"/>
              </w:divBdr>
            </w:div>
            <w:div w:id="1362899779">
              <w:marLeft w:val="0"/>
              <w:marRight w:val="0"/>
              <w:marTop w:val="0"/>
              <w:marBottom w:val="0"/>
              <w:divBdr>
                <w:top w:val="none" w:sz="0" w:space="0" w:color="auto"/>
                <w:left w:val="none" w:sz="0" w:space="0" w:color="auto"/>
                <w:bottom w:val="none" w:sz="0" w:space="0" w:color="auto"/>
                <w:right w:val="none" w:sz="0" w:space="0" w:color="auto"/>
              </w:divBdr>
            </w:div>
            <w:div w:id="1554196010">
              <w:marLeft w:val="0"/>
              <w:marRight w:val="0"/>
              <w:marTop w:val="0"/>
              <w:marBottom w:val="0"/>
              <w:divBdr>
                <w:top w:val="none" w:sz="0" w:space="0" w:color="auto"/>
                <w:left w:val="none" w:sz="0" w:space="0" w:color="auto"/>
                <w:bottom w:val="none" w:sz="0" w:space="0" w:color="auto"/>
                <w:right w:val="none" w:sz="0" w:space="0" w:color="auto"/>
              </w:divBdr>
            </w:div>
            <w:div w:id="1687247055">
              <w:marLeft w:val="0"/>
              <w:marRight w:val="0"/>
              <w:marTop w:val="0"/>
              <w:marBottom w:val="0"/>
              <w:divBdr>
                <w:top w:val="none" w:sz="0" w:space="0" w:color="auto"/>
                <w:left w:val="none" w:sz="0" w:space="0" w:color="auto"/>
                <w:bottom w:val="none" w:sz="0" w:space="0" w:color="auto"/>
                <w:right w:val="none" w:sz="0" w:space="0" w:color="auto"/>
              </w:divBdr>
            </w:div>
            <w:div w:id="1703163117">
              <w:marLeft w:val="0"/>
              <w:marRight w:val="0"/>
              <w:marTop w:val="0"/>
              <w:marBottom w:val="0"/>
              <w:divBdr>
                <w:top w:val="none" w:sz="0" w:space="0" w:color="auto"/>
                <w:left w:val="none" w:sz="0" w:space="0" w:color="auto"/>
                <w:bottom w:val="none" w:sz="0" w:space="0" w:color="auto"/>
                <w:right w:val="none" w:sz="0" w:space="0" w:color="auto"/>
              </w:divBdr>
            </w:div>
            <w:div w:id="1893730444">
              <w:marLeft w:val="0"/>
              <w:marRight w:val="0"/>
              <w:marTop w:val="0"/>
              <w:marBottom w:val="0"/>
              <w:divBdr>
                <w:top w:val="none" w:sz="0" w:space="0" w:color="auto"/>
                <w:left w:val="none" w:sz="0" w:space="0" w:color="auto"/>
                <w:bottom w:val="none" w:sz="0" w:space="0" w:color="auto"/>
                <w:right w:val="none" w:sz="0" w:space="0" w:color="auto"/>
              </w:divBdr>
            </w:div>
            <w:div w:id="1967737487">
              <w:marLeft w:val="0"/>
              <w:marRight w:val="0"/>
              <w:marTop w:val="0"/>
              <w:marBottom w:val="0"/>
              <w:divBdr>
                <w:top w:val="none" w:sz="0" w:space="0" w:color="auto"/>
                <w:left w:val="none" w:sz="0" w:space="0" w:color="auto"/>
                <w:bottom w:val="none" w:sz="0" w:space="0" w:color="auto"/>
                <w:right w:val="none" w:sz="0" w:space="0" w:color="auto"/>
              </w:divBdr>
            </w:div>
            <w:div w:id="2019427309">
              <w:marLeft w:val="0"/>
              <w:marRight w:val="0"/>
              <w:marTop w:val="0"/>
              <w:marBottom w:val="0"/>
              <w:divBdr>
                <w:top w:val="none" w:sz="0" w:space="0" w:color="auto"/>
                <w:left w:val="none" w:sz="0" w:space="0" w:color="auto"/>
                <w:bottom w:val="none" w:sz="0" w:space="0" w:color="auto"/>
                <w:right w:val="none" w:sz="0" w:space="0" w:color="auto"/>
              </w:divBdr>
            </w:div>
          </w:divsChild>
        </w:div>
        <w:div w:id="437916344">
          <w:marLeft w:val="0"/>
          <w:marRight w:val="0"/>
          <w:marTop w:val="0"/>
          <w:marBottom w:val="0"/>
          <w:divBdr>
            <w:top w:val="none" w:sz="0" w:space="0" w:color="auto"/>
            <w:left w:val="none" w:sz="0" w:space="0" w:color="auto"/>
            <w:bottom w:val="none" w:sz="0" w:space="0" w:color="auto"/>
            <w:right w:val="none" w:sz="0" w:space="0" w:color="auto"/>
          </w:divBdr>
          <w:divsChild>
            <w:div w:id="262999297">
              <w:marLeft w:val="0"/>
              <w:marRight w:val="0"/>
              <w:marTop w:val="0"/>
              <w:marBottom w:val="0"/>
              <w:divBdr>
                <w:top w:val="none" w:sz="0" w:space="0" w:color="auto"/>
                <w:left w:val="none" w:sz="0" w:space="0" w:color="auto"/>
                <w:bottom w:val="none" w:sz="0" w:space="0" w:color="auto"/>
                <w:right w:val="none" w:sz="0" w:space="0" w:color="auto"/>
              </w:divBdr>
            </w:div>
            <w:div w:id="414011455">
              <w:marLeft w:val="0"/>
              <w:marRight w:val="0"/>
              <w:marTop w:val="0"/>
              <w:marBottom w:val="0"/>
              <w:divBdr>
                <w:top w:val="none" w:sz="0" w:space="0" w:color="auto"/>
                <w:left w:val="none" w:sz="0" w:space="0" w:color="auto"/>
                <w:bottom w:val="none" w:sz="0" w:space="0" w:color="auto"/>
                <w:right w:val="none" w:sz="0" w:space="0" w:color="auto"/>
              </w:divBdr>
            </w:div>
            <w:div w:id="419641870">
              <w:marLeft w:val="0"/>
              <w:marRight w:val="0"/>
              <w:marTop w:val="0"/>
              <w:marBottom w:val="0"/>
              <w:divBdr>
                <w:top w:val="none" w:sz="0" w:space="0" w:color="auto"/>
                <w:left w:val="none" w:sz="0" w:space="0" w:color="auto"/>
                <w:bottom w:val="none" w:sz="0" w:space="0" w:color="auto"/>
                <w:right w:val="none" w:sz="0" w:space="0" w:color="auto"/>
              </w:divBdr>
            </w:div>
            <w:div w:id="851529423">
              <w:marLeft w:val="0"/>
              <w:marRight w:val="0"/>
              <w:marTop w:val="0"/>
              <w:marBottom w:val="0"/>
              <w:divBdr>
                <w:top w:val="none" w:sz="0" w:space="0" w:color="auto"/>
                <w:left w:val="none" w:sz="0" w:space="0" w:color="auto"/>
                <w:bottom w:val="none" w:sz="0" w:space="0" w:color="auto"/>
                <w:right w:val="none" w:sz="0" w:space="0" w:color="auto"/>
              </w:divBdr>
            </w:div>
            <w:div w:id="20009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96913">
      <w:bodyDiv w:val="1"/>
      <w:marLeft w:val="0"/>
      <w:marRight w:val="0"/>
      <w:marTop w:val="0"/>
      <w:marBottom w:val="0"/>
      <w:divBdr>
        <w:top w:val="none" w:sz="0" w:space="0" w:color="auto"/>
        <w:left w:val="none" w:sz="0" w:space="0" w:color="auto"/>
        <w:bottom w:val="none" w:sz="0" w:space="0" w:color="auto"/>
        <w:right w:val="none" w:sz="0" w:space="0" w:color="auto"/>
      </w:divBdr>
      <w:divsChild>
        <w:div w:id="1836846431">
          <w:marLeft w:val="0"/>
          <w:marRight w:val="0"/>
          <w:marTop w:val="0"/>
          <w:marBottom w:val="0"/>
          <w:divBdr>
            <w:top w:val="none" w:sz="0" w:space="0" w:color="auto"/>
            <w:left w:val="none" w:sz="0" w:space="0" w:color="auto"/>
            <w:bottom w:val="none" w:sz="0" w:space="0" w:color="auto"/>
            <w:right w:val="none" w:sz="0" w:space="0" w:color="auto"/>
          </w:divBdr>
        </w:div>
        <w:div w:id="1853497063">
          <w:marLeft w:val="0"/>
          <w:marRight w:val="0"/>
          <w:marTop w:val="0"/>
          <w:marBottom w:val="0"/>
          <w:divBdr>
            <w:top w:val="none" w:sz="0" w:space="0" w:color="auto"/>
            <w:left w:val="none" w:sz="0" w:space="0" w:color="auto"/>
            <w:bottom w:val="none" w:sz="0" w:space="0" w:color="auto"/>
            <w:right w:val="none" w:sz="0" w:space="0" w:color="auto"/>
          </w:divBdr>
        </w:div>
        <w:div w:id="1857302014">
          <w:marLeft w:val="0"/>
          <w:marRight w:val="0"/>
          <w:marTop w:val="0"/>
          <w:marBottom w:val="0"/>
          <w:divBdr>
            <w:top w:val="none" w:sz="0" w:space="0" w:color="auto"/>
            <w:left w:val="none" w:sz="0" w:space="0" w:color="auto"/>
            <w:bottom w:val="none" w:sz="0" w:space="0" w:color="auto"/>
            <w:right w:val="none" w:sz="0" w:space="0" w:color="auto"/>
          </w:divBdr>
          <w:divsChild>
            <w:div w:id="1742367527">
              <w:marLeft w:val="-75"/>
              <w:marRight w:val="0"/>
              <w:marTop w:val="30"/>
              <w:marBottom w:val="30"/>
              <w:divBdr>
                <w:top w:val="none" w:sz="0" w:space="0" w:color="auto"/>
                <w:left w:val="none" w:sz="0" w:space="0" w:color="auto"/>
                <w:bottom w:val="none" w:sz="0" w:space="0" w:color="auto"/>
                <w:right w:val="none" w:sz="0" w:space="0" w:color="auto"/>
              </w:divBdr>
              <w:divsChild>
                <w:div w:id="351689794">
                  <w:marLeft w:val="0"/>
                  <w:marRight w:val="0"/>
                  <w:marTop w:val="0"/>
                  <w:marBottom w:val="0"/>
                  <w:divBdr>
                    <w:top w:val="none" w:sz="0" w:space="0" w:color="auto"/>
                    <w:left w:val="none" w:sz="0" w:space="0" w:color="auto"/>
                    <w:bottom w:val="none" w:sz="0" w:space="0" w:color="auto"/>
                    <w:right w:val="none" w:sz="0" w:space="0" w:color="auto"/>
                  </w:divBdr>
                  <w:divsChild>
                    <w:div w:id="1055276590">
                      <w:marLeft w:val="0"/>
                      <w:marRight w:val="0"/>
                      <w:marTop w:val="0"/>
                      <w:marBottom w:val="0"/>
                      <w:divBdr>
                        <w:top w:val="none" w:sz="0" w:space="0" w:color="auto"/>
                        <w:left w:val="none" w:sz="0" w:space="0" w:color="auto"/>
                        <w:bottom w:val="none" w:sz="0" w:space="0" w:color="auto"/>
                        <w:right w:val="none" w:sz="0" w:space="0" w:color="auto"/>
                      </w:divBdr>
                    </w:div>
                  </w:divsChild>
                </w:div>
                <w:div w:id="498664854">
                  <w:marLeft w:val="0"/>
                  <w:marRight w:val="0"/>
                  <w:marTop w:val="0"/>
                  <w:marBottom w:val="0"/>
                  <w:divBdr>
                    <w:top w:val="none" w:sz="0" w:space="0" w:color="auto"/>
                    <w:left w:val="none" w:sz="0" w:space="0" w:color="auto"/>
                    <w:bottom w:val="none" w:sz="0" w:space="0" w:color="auto"/>
                    <w:right w:val="none" w:sz="0" w:space="0" w:color="auto"/>
                  </w:divBdr>
                  <w:divsChild>
                    <w:div w:id="647827514">
                      <w:marLeft w:val="0"/>
                      <w:marRight w:val="0"/>
                      <w:marTop w:val="0"/>
                      <w:marBottom w:val="0"/>
                      <w:divBdr>
                        <w:top w:val="none" w:sz="0" w:space="0" w:color="auto"/>
                        <w:left w:val="none" w:sz="0" w:space="0" w:color="auto"/>
                        <w:bottom w:val="none" w:sz="0" w:space="0" w:color="auto"/>
                        <w:right w:val="none" w:sz="0" w:space="0" w:color="auto"/>
                      </w:divBdr>
                    </w:div>
                  </w:divsChild>
                </w:div>
                <w:div w:id="609973462">
                  <w:marLeft w:val="0"/>
                  <w:marRight w:val="0"/>
                  <w:marTop w:val="0"/>
                  <w:marBottom w:val="0"/>
                  <w:divBdr>
                    <w:top w:val="none" w:sz="0" w:space="0" w:color="auto"/>
                    <w:left w:val="none" w:sz="0" w:space="0" w:color="auto"/>
                    <w:bottom w:val="none" w:sz="0" w:space="0" w:color="auto"/>
                    <w:right w:val="none" w:sz="0" w:space="0" w:color="auto"/>
                  </w:divBdr>
                  <w:divsChild>
                    <w:div w:id="62266968">
                      <w:marLeft w:val="0"/>
                      <w:marRight w:val="0"/>
                      <w:marTop w:val="0"/>
                      <w:marBottom w:val="0"/>
                      <w:divBdr>
                        <w:top w:val="none" w:sz="0" w:space="0" w:color="auto"/>
                        <w:left w:val="none" w:sz="0" w:space="0" w:color="auto"/>
                        <w:bottom w:val="none" w:sz="0" w:space="0" w:color="auto"/>
                        <w:right w:val="none" w:sz="0" w:space="0" w:color="auto"/>
                      </w:divBdr>
                    </w:div>
                  </w:divsChild>
                </w:div>
                <w:div w:id="629554777">
                  <w:marLeft w:val="0"/>
                  <w:marRight w:val="0"/>
                  <w:marTop w:val="0"/>
                  <w:marBottom w:val="0"/>
                  <w:divBdr>
                    <w:top w:val="none" w:sz="0" w:space="0" w:color="auto"/>
                    <w:left w:val="none" w:sz="0" w:space="0" w:color="auto"/>
                    <w:bottom w:val="none" w:sz="0" w:space="0" w:color="auto"/>
                    <w:right w:val="none" w:sz="0" w:space="0" w:color="auto"/>
                  </w:divBdr>
                  <w:divsChild>
                    <w:div w:id="833034266">
                      <w:marLeft w:val="0"/>
                      <w:marRight w:val="0"/>
                      <w:marTop w:val="0"/>
                      <w:marBottom w:val="0"/>
                      <w:divBdr>
                        <w:top w:val="none" w:sz="0" w:space="0" w:color="auto"/>
                        <w:left w:val="none" w:sz="0" w:space="0" w:color="auto"/>
                        <w:bottom w:val="none" w:sz="0" w:space="0" w:color="auto"/>
                        <w:right w:val="none" w:sz="0" w:space="0" w:color="auto"/>
                      </w:divBdr>
                    </w:div>
                  </w:divsChild>
                </w:div>
                <w:div w:id="805243805">
                  <w:marLeft w:val="0"/>
                  <w:marRight w:val="0"/>
                  <w:marTop w:val="0"/>
                  <w:marBottom w:val="0"/>
                  <w:divBdr>
                    <w:top w:val="none" w:sz="0" w:space="0" w:color="auto"/>
                    <w:left w:val="none" w:sz="0" w:space="0" w:color="auto"/>
                    <w:bottom w:val="none" w:sz="0" w:space="0" w:color="auto"/>
                    <w:right w:val="none" w:sz="0" w:space="0" w:color="auto"/>
                  </w:divBdr>
                  <w:divsChild>
                    <w:div w:id="1134176153">
                      <w:marLeft w:val="0"/>
                      <w:marRight w:val="0"/>
                      <w:marTop w:val="0"/>
                      <w:marBottom w:val="0"/>
                      <w:divBdr>
                        <w:top w:val="none" w:sz="0" w:space="0" w:color="auto"/>
                        <w:left w:val="none" w:sz="0" w:space="0" w:color="auto"/>
                        <w:bottom w:val="none" w:sz="0" w:space="0" w:color="auto"/>
                        <w:right w:val="none" w:sz="0" w:space="0" w:color="auto"/>
                      </w:divBdr>
                    </w:div>
                  </w:divsChild>
                </w:div>
                <w:div w:id="929463005">
                  <w:marLeft w:val="0"/>
                  <w:marRight w:val="0"/>
                  <w:marTop w:val="0"/>
                  <w:marBottom w:val="0"/>
                  <w:divBdr>
                    <w:top w:val="none" w:sz="0" w:space="0" w:color="auto"/>
                    <w:left w:val="none" w:sz="0" w:space="0" w:color="auto"/>
                    <w:bottom w:val="none" w:sz="0" w:space="0" w:color="auto"/>
                    <w:right w:val="none" w:sz="0" w:space="0" w:color="auto"/>
                  </w:divBdr>
                  <w:divsChild>
                    <w:div w:id="1823496426">
                      <w:marLeft w:val="0"/>
                      <w:marRight w:val="0"/>
                      <w:marTop w:val="0"/>
                      <w:marBottom w:val="0"/>
                      <w:divBdr>
                        <w:top w:val="none" w:sz="0" w:space="0" w:color="auto"/>
                        <w:left w:val="none" w:sz="0" w:space="0" w:color="auto"/>
                        <w:bottom w:val="none" w:sz="0" w:space="0" w:color="auto"/>
                        <w:right w:val="none" w:sz="0" w:space="0" w:color="auto"/>
                      </w:divBdr>
                    </w:div>
                  </w:divsChild>
                </w:div>
                <w:div w:id="1152478971">
                  <w:marLeft w:val="0"/>
                  <w:marRight w:val="0"/>
                  <w:marTop w:val="0"/>
                  <w:marBottom w:val="0"/>
                  <w:divBdr>
                    <w:top w:val="none" w:sz="0" w:space="0" w:color="auto"/>
                    <w:left w:val="none" w:sz="0" w:space="0" w:color="auto"/>
                    <w:bottom w:val="none" w:sz="0" w:space="0" w:color="auto"/>
                    <w:right w:val="none" w:sz="0" w:space="0" w:color="auto"/>
                  </w:divBdr>
                  <w:divsChild>
                    <w:div w:id="1929119883">
                      <w:marLeft w:val="0"/>
                      <w:marRight w:val="0"/>
                      <w:marTop w:val="0"/>
                      <w:marBottom w:val="0"/>
                      <w:divBdr>
                        <w:top w:val="none" w:sz="0" w:space="0" w:color="auto"/>
                        <w:left w:val="none" w:sz="0" w:space="0" w:color="auto"/>
                        <w:bottom w:val="none" w:sz="0" w:space="0" w:color="auto"/>
                        <w:right w:val="none" w:sz="0" w:space="0" w:color="auto"/>
                      </w:divBdr>
                    </w:div>
                  </w:divsChild>
                </w:div>
                <w:div w:id="1158106693">
                  <w:marLeft w:val="0"/>
                  <w:marRight w:val="0"/>
                  <w:marTop w:val="0"/>
                  <w:marBottom w:val="0"/>
                  <w:divBdr>
                    <w:top w:val="none" w:sz="0" w:space="0" w:color="auto"/>
                    <w:left w:val="none" w:sz="0" w:space="0" w:color="auto"/>
                    <w:bottom w:val="none" w:sz="0" w:space="0" w:color="auto"/>
                    <w:right w:val="none" w:sz="0" w:space="0" w:color="auto"/>
                  </w:divBdr>
                  <w:divsChild>
                    <w:div w:id="322244077">
                      <w:marLeft w:val="0"/>
                      <w:marRight w:val="0"/>
                      <w:marTop w:val="0"/>
                      <w:marBottom w:val="0"/>
                      <w:divBdr>
                        <w:top w:val="none" w:sz="0" w:space="0" w:color="auto"/>
                        <w:left w:val="none" w:sz="0" w:space="0" w:color="auto"/>
                        <w:bottom w:val="none" w:sz="0" w:space="0" w:color="auto"/>
                        <w:right w:val="none" w:sz="0" w:space="0" w:color="auto"/>
                      </w:divBdr>
                    </w:div>
                  </w:divsChild>
                </w:div>
                <w:div w:id="1263566578">
                  <w:marLeft w:val="0"/>
                  <w:marRight w:val="0"/>
                  <w:marTop w:val="0"/>
                  <w:marBottom w:val="0"/>
                  <w:divBdr>
                    <w:top w:val="none" w:sz="0" w:space="0" w:color="auto"/>
                    <w:left w:val="none" w:sz="0" w:space="0" w:color="auto"/>
                    <w:bottom w:val="none" w:sz="0" w:space="0" w:color="auto"/>
                    <w:right w:val="none" w:sz="0" w:space="0" w:color="auto"/>
                  </w:divBdr>
                  <w:divsChild>
                    <w:div w:id="1569345347">
                      <w:marLeft w:val="0"/>
                      <w:marRight w:val="0"/>
                      <w:marTop w:val="0"/>
                      <w:marBottom w:val="0"/>
                      <w:divBdr>
                        <w:top w:val="none" w:sz="0" w:space="0" w:color="auto"/>
                        <w:left w:val="none" w:sz="0" w:space="0" w:color="auto"/>
                        <w:bottom w:val="none" w:sz="0" w:space="0" w:color="auto"/>
                        <w:right w:val="none" w:sz="0" w:space="0" w:color="auto"/>
                      </w:divBdr>
                    </w:div>
                  </w:divsChild>
                </w:div>
                <w:div w:id="1755862380">
                  <w:marLeft w:val="0"/>
                  <w:marRight w:val="0"/>
                  <w:marTop w:val="0"/>
                  <w:marBottom w:val="0"/>
                  <w:divBdr>
                    <w:top w:val="none" w:sz="0" w:space="0" w:color="auto"/>
                    <w:left w:val="none" w:sz="0" w:space="0" w:color="auto"/>
                    <w:bottom w:val="none" w:sz="0" w:space="0" w:color="auto"/>
                    <w:right w:val="none" w:sz="0" w:space="0" w:color="auto"/>
                  </w:divBdr>
                  <w:divsChild>
                    <w:div w:id="9921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490448">
      <w:bodyDiv w:val="1"/>
      <w:marLeft w:val="0"/>
      <w:marRight w:val="0"/>
      <w:marTop w:val="0"/>
      <w:marBottom w:val="0"/>
      <w:divBdr>
        <w:top w:val="none" w:sz="0" w:space="0" w:color="auto"/>
        <w:left w:val="none" w:sz="0" w:space="0" w:color="auto"/>
        <w:bottom w:val="none" w:sz="0" w:space="0" w:color="auto"/>
        <w:right w:val="none" w:sz="0" w:space="0" w:color="auto"/>
      </w:divBdr>
      <w:divsChild>
        <w:div w:id="349530777">
          <w:marLeft w:val="0"/>
          <w:marRight w:val="0"/>
          <w:marTop w:val="0"/>
          <w:marBottom w:val="0"/>
          <w:divBdr>
            <w:top w:val="none" w:sz="0" w:space="0" w:color="auto"/>
            <w:left w:val="none" w:sz="0" w:space="0" w:color="auto"/>
            <w:bottom w:val="none" w:sz="0" w:space="0" w:color="auto"/>
            <w:right w:val="none" w:sz="0" w:space="0" w:color="auto"/>
          </w:divBdr>
        </w:div>
        <w:div w:id="1487821167">
          <w:marLeft w:val="0"/>
          <w:marRight w:val="0"/>
          <w:marTop w:val="0"/>
          <w:marBottom w:val="0"/>
          <w:divBdr>
            <w:top w:val="none" w:sz="0" w:space="0" w:color="auto"/>
            <w:left w:val="none" w:sz="0" w:space="0" w:color="auto"/>
            <w:bottom w:val="none" w:sz="0" w:space="0" w:color="auto"/>
            <w:right w:val="none" w:sz="0" w:space="0" w:color="auto"/>
          </w:divBdr>
        </w:div>
      </w:divsChild>
    </w:div>
    <w:div w:id="537201017">
      <w:bodyDiv w:val="1"/>
      <w:marLeft w:val="0"/>
      <w:marRight w:val="0"/>
      <w:marTop w:val="0"/>
      <w:marBottom w:val="0"/>
      <w:divBdr>
        <w:top w:val="none" w:sz="0" w:space="0" w:color="auto"/>
        <w:left w:val="none" w:sz="0" w:space="0" w:color="auto"/>
        <w:bottom w:val="none" w:sz="0" w:space="0" w:color="auto"/>
        <w:right w:val="none" w:sz="0" w:space="0" w:color="auto"/>
      </w:divBdr>
    </w:div>
    <w:div w:id="554465497">
      <w:bodyDiv w:val="1"/>
      <w:marLeft w:val="0"/>
      <w:marRight w:val="0"/>
      <w:marTop w:val="0"/>
      <w:marBottom w:val="0"/>
      <w:divBdr>
        <w:top w:val="none" w:sz="0" w:space="0" w:color="auto"/>
        <w:left w:val="none" w:sz="0" w:space="0" w:color="auto"/>
        <w:bottom w:val="none" w:sz="0" w:space="0" w:color="auto"/>
        <w:right w:val="none" w:sz="0" w:space="0" w:color="auto"/>
      </w:divBdr>
      <w:divsChild>
        <w:div w:id="863713743">
          <w:marLeft w:val="0"/>
          <w:marRight w:val="0"/>
          <w:marTop w:val="0"/>
          <w:marBottom w:val="0"/>
          <w:divBdr>
            <w:top w:val="none" w:sz="0" w:space="0" w:color="auto"/>
            <w:left w:val="none" w:sz="0" w:space="0" w:color="auto"/>
            <w:bottom w:val="none" w:sz="0" w:space="0" w:color="auto"/>
            <w:right w:val="none" w:sz="0" w:space="0" w:color="auto"/>
          </w:divBdr>
        </w:div>
        <w:div w:id="1492016734">
          <w:marLeft w:val="0"/>
          <w:marRight w:val="0"/>
          <w:marTop w:val="0"/>
          <w:marBottom w:val="0"/>
          <w:divBdr>
            <w:top w:val="none" w:sz="0" w:space="0" w:color="auto"/>
            <w:left w:val="none" w:sz="0" w:space="0" w:color="auto"/>
            <w:bottom w:val="none" w:sz="0" w:space="0" w:color="auto"/>
            <w:right w:val="none" w:sz="0" w:space="0" w:color="auto"/>
          </w:divBdr>
        </w:div>
        <w:div w:id="1541474889">
          <w:marLeft w:val="0"/>
          <w:marRight w:val="0"/>
          <w:marTop w:val="0"/>
          <w:marBottom w:val="0"/>
          <w:divBdr>
            <w:top w:val="none" w:sz="0" w:space="0" w:color="auto"/>
            <w:left w:val="none" w:sz="0" w:space="0" w:color="auto"/>
            <w:bottom w:val="none" w:sz="0" w:space="0" w:color="auto"/>
            <w:right w:val="none" w:sz="0" w:space="0" w:color="auto"/>
          </w:divBdr>
        </w:div>
      </w:divsChild>
    </w:div>
    <w:div w:id="583032097">
      <w:bodyDiv w:val="1"/>
      <w:marLeft w:val="0"/>
      <w:marRight w:val="0"/>
      <w:marTop w:val="0"/>
      <w:marBottom w:val="0"/>
      <w:divBdr>
        <w:top w:val="none" w:sz="0" w:space="0" w:color="auto"/>
        <w:left w:val="none" w:sz="0" w:space="0" w:color="auto"/>
        <w:bottom w:val="none" w:sz="0" w:space="0" w:color="auto"/>
        <w:right w:val="none" w:sz="0" w:space="0" w:color="auto"/>
      </w:divBdr>
      <w:divsChild>
        <w:div w:id="450825805">
          <w:marLeft w:val="0"/>
          <w:marRight w:val="0"/>
          <w:marTop w:val="0"/>
          <w:marBottom w:val="0"/>
          <w:divBdr>
            <w:top w:val="none" w:sz="0" w:space="0" w:color="auto"/>
            <w:left w:val="none" w:sz="0" w:space="0" w:color="auto"/>
            <w:bottom w:val="none" w:sz="0" w:space="0" w:color="auto"/>
            <w:right w:val="none" w:sz="0" w:space="0" w:color="auto"/>
          </w:divBdr>
        </w:div>
        <w:div w:id="576476667">
          <w:marLeft w:val="0"/>
          <w:marRight w:val="0"/>
          <w:marTop w:val="0"/>
          <w:marBottom w:val="0"/>
          <w:divBdr>
            <w:top w:val="none" w:sz="0" w:space="0" w:color="auto"/>
            <w:left w:val="none" w:sz="0" w:space="0" w:color="auto"/>
            <w:bottom w:val="none" w:sz="0" w:space="0" w:color="auto"/>
            <w:right w:val="none" w:sz="0" w:space="0" w:color="auto"/>
          </w:divBdr>
        </w:div>
      </w:divsChild>
    </w:div>
    <w:div w:id="595938124">
      <w:bodyDiv w:val="1"/>
      <w:marLeft w:val="0"/>
      <w:marRight w:val="0"/>
      <w:marTop w:val="0"/>
      <w:marBottom w:val="0"/>
      <w:divBdr>
        <w:top w:val="none" w:sz="0" w:space="0" w:color="auto"/>
        <w:left w:val="none" w:sz="0" w:space="0" w:color="auto"/>
        <w:bottom w:val="none" w:sz="0" w:space="0" w:color="auto"/>
        <w:right w:val="none" w:sz="0" w:space="0" w:color="auto"/>
      </w:divBdr>
    </w:div>
    <w:div w:id="663820995">
      <w:bodyDiv w:val="1"/>
      <w:marLeft w:val="0"/>
      <w:marRight w:val="0"/>
      <w:marTop w:val="0"/>
      <w:marBottom w:val="0"/>
      <w:divBdr>
        <w:top w:val="none" w:sz="0" w:space="0" w:color="auto"/>
        <w:left w:val="none" w:sz="0" w:space="0" w:color="auto"/>
        <w:bottom w:val="none" w:sz="0" w:space="0" w:color="auto"/>
        <w:right w:val="none" w:sz="0" w:space="0" w:color="auto"/>
      </w:divBdr>
      <w:divsChild>
        <w:div w:id="1047484513">
          <w:marLeft w:val="0"/>
          <w:marRight w:val="0"/>
          <w:marTop w:val="0"/>
          <w:marBottom w:val="0"/>
          <w:divBdr>
            <w:top w:val="none" w:sz="0" w:space="0" w:color="auto"/>
            <w:left w:val="none" w:sz="0" w:space="0" w:color="auto"/>
            <w:bottom w:val="none" w:sz="0" w:space="0" w:color="auto"/>
            <w:right w:val="none" w:sz="0" w:space="0" w:color="auto"/>
          </w:divBdr>
          <w:divsChild>
            <w:div w:id="316764444">
              <w:marLeft w:val="0"/>
              <w:marRight w:val="0"/>
              <w:marTop w:val="0"/>
              <w:marBottom w:val="0"/>
              <w:divBdr>
                <w:top w:val="none" w:sz="0" w:space="0" w:color="auto"/>
                <w:left w:val="none" w:sz="0" w:space="0" w:color="auto"/>
                <w:bottom w:val="none" w:sz="0" w:space="0" w:color="auto"/>
                <w:right w:val="none" w:sz="0" w:space="0" w:color="auto"/>
              </w:divBdr>
            </w:div>
            <w:div w:id="559560044">
              <w:marLeft w:val="0"/>
              <w:marRight w:val="0"/>
              <w:marTop w:val="0"/>
              <w:marBottom w:val="0"/>
              <w:divBdr>
                <w:top w:val="none" w:sz="0" w:space="0" w:color="auto"/>
                <w:left w:val="none" w:sz="0" w:space="0" w:color="auto"/>
                <w:bottom w:val="none" w:sz="0" w:space="0" w:color="auto"/>
                <w:right w:val="none" w:sz="0" w:space="0" w:color="auto"/>
              </w:divBdr>
            </w:div>
            <w:div w:id="673336771">
              <w:marLeft w:val="0"/>
              <w:marRight w:val="0"/>
              <w:marTop w:val="0"/>
              <w:marBottom w:val="0"/>
              <w:divBdr>
                <w:top w:val="none" w:sz="0" w:space="0" w:color="auto"/>
                <w:left w:val="none" w:sz="0" w:space="0" w:color="auto"/>
                <w:bottom w:val="none" w:sz="0" w:space="0" w:color="auto"/>
                <w:right w:val="none" w:sz="0" w:space="0" w:color="auto"/>
              </w:divBdr>
            </w:div>
            <w:div w:id="1007293581">
              <w:marLeft w:val="0"/>
              <w:marRight w:val="0"/>
              <w:marTop w:val="0"/>
              <w:marBottom w:val="0"/>
              <w:divBdr>
                <w:top w:val="none" w:sz="0" w:space="0" w:color="auto"/>
                <w:left w:val="none" w:sz="0" w:space="0" w:color="auto"/>
                <w:bottom w:val="none" w:sz="0" w:space="0" w:color="auto"/>
                <w:right w:val="none" w:sz="0" w:space="0" w:color="auto"/>
              </w:divBdr>
            </w:div>
            <w:div w:id="1051999521">
              <w:marLeft w:val="0"/>
              <w:marRight w:val="0"/>
              <w:marTop w:val="0"/>
              <w:marBottom w:val="0"/>
              <w:divBdr>
                <w:top w:val="none" w:sz="0" w:space="0" w:color="auto"/>
                <w:left w:val="none" w:sz="0" w:space="0" w:color="auto"/>
                <w:bottom w:val="none" w:sz="0" w:space="0" w:color="auto"/>
                <w:right w:val="none" w:sz="0" w:space="0" w:color="auto"/>
              </w:divBdr>
            </w:div>
            <w:div w:id="1111438719">
              <w:marLeft w:val="0"/>
              <w:marRight w:val="0"/>
              <w:marTop w:val="0"/>
              <w:marBottom w:val="0"/>
              <w:divBdr>
                <w:top w:val="none" w:sz="0" w:space="0" w:color="auto"/>
                <w:left w:val="none" w:sz="0" w:space="0" w:color="auto"/>
                <w:bottom w:val="none" w:sz="0" w:space="0" w:color="auto"/>
                <w:right w:val="none" w:sz="0" w:space="0" w:color="auto"/>
              </w:divBdr>
            </w:div>
            <w:div w:id="1304698759">
              <w:marLeft w:val="0"/>
              <w:marRight w:val="0"/>
              <w:marTop w:val="0"/>
              <w:marBottom w:val="0"/>
              <w:divBdr>
                <w:top w:val="none" w:sz="0" w:space="0" w:color="auto"/>
                <w:left w:val="none" w:sz="0" w:space="0" w:color="auto"/>
                <w:bottom w:val="none" w:sz="0" w:space="0" w:color="auto"/>
                <w:right w:val="none" w:sz="0" w:space="0" w:color="auto"/>
              </w:divBdr>
            </w:div>
            <w:div w:id="1437216206">
              <w:marLeft w:val="0"/>
              <w:marRight w:val="0"/>
              <w:marTop w:val="0"/>
              <w:marBottom w:val="0"/>
              <w:divBdr>
                <w:top w:val="none" w:sz="0" w:space="0" w:color="auto"/>
                <w:left w:val="none" w:sz="0" w:space="0" w:color="auto"/>
                <w:bottom w:val="none" w:sz="0" w:space="0" w:color="auto"/>
                <w:right w:val="none" w:sz="0" w:space="0" w:color="auto"/>
              </w:divBdr>
            </w:div>
            <w:div w:id="1566648935">
              <w:marLeft w:val="0"/>
              <w:marRight w:val="0"/>
              <w:marTop w:val="0"/>
              <w:marBottom w:val="0"/>
              <w:divBdr>
                <w:top w:val="none" w:sz="0" w:space="0" w:color="auto"/>
                <w:left w:val="none" w:sz="0" w:space="0" w:color="auto"/>
                <w:bottom w:val="none" w:sz="0" w:space="0" w:color="auto"/>
                <w:right w:val="none" w:sz="0" w:space="0" w:color="auto"/>
              </w:divBdr>
            </w:div>
            <w:div w:id="1664242350">
              <w:marLeft w:val="0"/>
              <w:marRight w:val="0"/>
              <w:marTop w:val="0"/>
              <w:marBottom w:val="0"/>
              <w:divBdr>
                <w:top w:val="none" w:sz="0" w:space="0" w:color="auto"/>
                <w:left w:val="none" w:sz="0" w:space="0" w:color="auto"/>
                <w:bottom w:val="none" w:sz="0" w:space="0" w:color="auto"/>
                <w:right w:val="none" w:sz="0" w:space="0" w:color="auto"/>
              </w:divBdr>
            </w:div>
          </w:divsChild>
        </w:div>
        <w:div w:id="1979912828">
          <w:marLeft w:val="0"/>
          <w:marRight w:val="0"/>
          <w:marTop w:val="0"/>
          <w:marBottom w:val="0"/>
          <w:divBdr>
            <w:top w:val="none" w:sz="0" w:space="0" w:color="auto"/>
            <w:left w:val="none" w:sz="0" w:space="0" w:color="auto"/>
            <w:bottom w:val="none" w:sz="0" w:space="0" w:color="auto"/>
            <w:right w:val="none" w:sz="0" w:space="0" w:color="auto"/>
          </w:divBdr>
          <w:divsChild>
            <w:div w:id="115219914">
              <w:marLeft w:val="0"/>
              <w:marRight w:val="0"/>
              <w:marTop w:val="0"/>
              <w:marBottom w:val="0"/>
              <w:divBdr>
                <w:top w:val="none" w:sz="0" w:space="0" w:color="auto"/>
                <w:left w:val="none" w:sz="0" w:space="0" w:color="auto"/>
                <w:bottom w:val="none" w:sz="0" w:space="0" w:color="auto"/>
                <w:right w:val="none" w:sz="0" w:space="0" w:color="auto"/>
              </w:divBdr>
            </w:div>
            <w:div w:id="224418372">
              <w:marLeft w:val="0"/>
              <w:marRight w:val="0"/>
              <w:marTop w:val="0"/>
              <w:marBottom w:val="0"/>
              <w:divBdr>
                <w:top w:val="none" w:sz="0" w:space="0" w:color="auto"/>
                <w:left w:val="none" w:sz="0" w:space="0" w:color="auto"/>
                <w:bottom w:val="none" w:sz="0" w:space="0" w:color="auto"/>
                <w:right w:val="none" w:sz="0" w:space="0" w:color="auto"/>
              </w:divBdr>
            </w:div>
            <w:div w:id="358893166">
              <w:marLeft w:val="0"/>
              <w:marRight w:val="0"/>
              <w:marTop w:val="0"/>
              <w:marBottom w:val="0"/>
              <w:divBdr>
                <w:top w:val="none" w:sz="0" w:space="0" w:color="auto"/>
                <w:left w:val="none" w:sz="0" w:space="0" w:color="auto"/>
                <w:bottom w:val="none" w:sz="0" w:space="0" w:color="auto"/>
                <w:right w:val="none" w:sz="0" w:space="0" w:color="auto"/>
              </w:divBdr>
            </w:div>
            <w:div w:id="449665085">
              <w:marLeft w:val="0"/>
              <w:marRight w:val="0"/>
              <w:marTop w:val="0"/>
              <w:marBottom w:val="0"/>
              <w:divBdr>
                <w:top w:val="none" w:sz="0" w:space="0" w:color="auto"/>
                <w:left w:val="none" w:sz="0" w:space="0" w:color="auto"/>
                <w:bottom w:val="none" w:sz="0" w:space="0" w:color="auto"/>
                <w:right w:val="none" w:sz="0" w:space="0" w:color="auto"/>
              </w:divBdr>
            </w:div>
            <w:div w:id="805699712">
              <w:marLeft w:val="0"/>
              <w:marRight w:val="0"/>
              <w:marTop w:val="0"/>
              <w:marBottom w:val="0"/>
              <w:divBdr>
                <w:top w:val="none" w:sz="0" w:space="0" w:color="auto"/>
                <w:left w:val="none" w:sz="0" w:space="0" w:color="auto"/>
                <w:bottom w:val="none" w:sz="0" w:space="0" w:color="auto"/>
                <w:right w:val="none" w:sz="0" w:space="0" w:color="auto"/>
              </w:divBdr>
            </w:div>
            <w:div w:id="806314586">
              <w:marLeft w:val="0"/>
              <w:marRight w:val="0"/>
              <w:marTop w:val="0"/>
              <w:marBottom w:val="0"/>
              <w:divBdr>
                <w:top w:val="none" w:sz="0" w:space="0" w:color="auto"/>
                <w:left w:val="none" w:sz="0" w:space="0" w:color="auto"/>
                <w:bottom w:val="none" w:sz="0" w:space="0" w:color="auto"/>
                <w:right w:val="none" w:sz="0" w:space="0" w:color="auto"/>
              </w:divBdr>
            </w:div>
            <w:div w:id="898202294">
              <w:marLeft w:val="0"/>
              <w:marRight w:val="0"/>
              <w:marTop w:val="0"/>
              <w:marBottom w:val="0"/>
              <w:divBdr>
                <w:top w:val="none" w:sz="0" w:space="0" w:color="auto"/>
                <w:left w:val="none" w:sz="0" w:space="0" w:color="auto"/>
                <w:bottom w:val="none" w:sz="0" w:space="0" w:color="auto"/>
                <w:right w:val="none" w:sz="0" w:space="0" w:color="auto"/>
              </w:divBdr>
            </w:div>
            <w:div w:id="970675744">
              <w:marLeft w:val="0"/>
              <w:marRight w:val="0"/>
              <w:marTop w:val="0"/>
              <w:marBottom w:val="0"/>
              <w:divBdr>
                <w:top w:val="none" w:sz="0" w:space="0" w:color="auto"/>
                <w:left w:val="none" w:sz="0" w:space="0" w:color="auto"/>
                <w:bottom w:val="none" w:sz="0" w:space="0" w:color="auto"/>
                <w:right w:val="none" w:sz="0" w:space="0" w:color="auto"/>
              </w:divBdr>
            </w:div>
            <w:div w:id="1197934772">
              <w:marLeft w:val="0"/>
              <w:marRight w:val="0"/>
              <w:marTop w:val="0"/>
              <w:marBottom w:val="0"/>
              <w:divBdr>
                <w:top w:val="none" w:sz="0" w:space="0" w:color="auto"/>
                <w:left w:val="none" w:sz="0" w:space="0" w:color="auto"/>
                <w:bottom w:val="none" w:sz="0" w:space="0" w:color="auto"/>
                <w:right w:val="none" w:sz="0" w:space="0" w:color="auto"/>
              </w:divBdr>
            </w:div>
            <w:div w:id="1261328892">
              <w:marLeft w:val="0"/>
              <w:marRight w:val="0"/>
              <w:marTop w:val="0"/>
              <w:marBottom w:val="0"/>
              <w:divBdr>
                <w:top w:val="none" w:sz="0" w:space="0" w:color="auto"/>
                <w:left w:val="none" w:sz="0" w:space="0" w:color="auto"/>
                <w:bottom w:val="none" w:sz="0" w:space="0" w:color="auto"/>
                <w:right w:val="none" w:sz="0" w:space="0" w:color="auto"/>
              </w:divBdr>
            </w:div>
            <w:div w:id="1577277013">
              <w:marLeft w:val="0"/>
              <w:marRight w:val="0"/>
              <w:marTop w:val="0"/>
              <w:marBottom w:val="0"/>
              <w:divBdr>
                <w:top w:val="none" w:sz="0" w:space="0" w:color="auto"/>
                <w:left w:val="none" w:sz="0" w:space="0" w:color="auto"/>
                <w:bottom w:val="none" w:sz="0" w:space="0" w:color="auto"/>
                <w:right w:val="none" w:sz="0" w:space="0" w:color="auto"/>
              </w:divBdr>
            </w:div>
            <w:div w:id="1861696756">
              <w:marLeft w:val="0"/>
              <w:marRight w:val="0"/>
              <w:marTop w:val="0"/>
              <w:marBottom w:val="0"/>
              <w:divBdr>
                <w:top w:val="none" w:sz="0" w:space="0" w:color="auto"/>
                <w:left w:val="none" w:sz="0" w:space="0" w:color="auto"/>
                <w:bottom w:val="none" w:sz="0" w:space="0" w:color="auto"/>
                <w:right w:val="none" w:sz="0" w:space="0" w:color="auto"/>
              </w:divBdr>
            </w:div>
            <w:div w:id="1887184343">
              <w:marLeft w:val="0"/>
              <w:marRight w:val="0"/>
              <w:marTop w:val="0"/>
              <w:marBottom w:val="0"/>
              <w:divBdr>
                <w:top w:val="none" w:sz="0" w:space="0" w:color="auto"/>
                <w:left w:val="none" w:sz="0" w:space="0" w:color="auto"/>
                <w:bottom w:val="none" w:sz="0" w:space="0" w:color="auto"/>
                <w:right w:val="none" w:sz="0" w:space="0" w:color="auto"/>
              </w:divBdr>
            </w:div>
            <w:div w:id="19264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03842">
      <w:bodyDiv w:val="1"/>
      <w:marLeft w:val="0"/>
      <w:marRight w:val="0"/>
      <w:marTop w:val="0"/>
      <w:marBottom w:val="0"/>
      <w:divBdr>
        <w:top w:val="none" w:sz="0" w:space="0" w:color="auto"/>
        <w:left w:val="none" w:sz="0" w:space="0" w:color="auto"/>
        <w:bottom w:val="none" w:sz="0" w:space="0" w:color="auto"/>
        <w:right w:val="none" w:sz="0" w:space="0" w:color="auto"/>
      </w:divBdr>
    </w:div>
    <w:div w:id="694160760">
      <w:bodyDiv w:val="1"/>
      <w:marLeft w:val="0"/>
      <w:marRight w:val="0"/>
      <w:marTop w:val="0"/>
      <w:marBottom w:val="0"/>
      <w:divBdr>
        <w:top w:val="none" w:sz="0" w:space="0" w:color="auto"/>
        <w:left w:val="none" w:sz="0" w:space="0" w:color="auto"/>
        <w:bottom w:val="none" w:sz="0" w:space="0" w:color="auto"/>
        <w:right w:val="none" w:sz="0" w:space="0" w:color="auto"/>
      </w:divBdr>
    </w:div>
    <w:div w:id="754787328">
      <w:bodyDiv w:val="1"/>
      <w:marLeft w:val="0"/>
      <w:marRight w:val="0"/>
      <w:marTop w:val="0"/>
      <w:marBottom w:val="0"/>
      <w:divBdr>
        <w:top w:val="none" w:sz="0" w:space="0" w:color="auto"/>
        <w:left w:val="none" w:sz="0" w:space="0" w:color="auto"/>
        <w:bottom w:val="none" w:sz="0" w:space="0" w:color="auto"/>
        <w:right w:val="none" w:sz="0" w:space="0" w:color="auto"/>
      </w:divBdr>
    </w:div>
    <w:div w:id="791900953">
      <w:bodyDiv w:val="1"/>
      <w:marLeft w:val="0"/>
      <w:marRight w:val="0"/>
      <w:marTop w:val="0"/>
      <w:marBottom w:val="0"/>
      <w:divBdr>
        <w:top w:val="none" w:sz="0" w:space="0" w:color="auto"/>
        <w:left w:val="none" w:sz="0" w:space="0" w:color="auto"/>
        <w:bottom w:val="none" w:sz="0" w:space="0" w:color="auto"/>
        <w:right w:val="none" w:sz="0" w:space="0" w:color="auto"/>
      </w:divBdr>
      <w:divsChild>
        <w:div w:id="1484391989">
          <w:marLeft w:val="0"/>
          <w:marRight w:val="0"/>
          <w:marTop w:val="0"/>
          <w:marBottom w:val="0"/>
          <w:divBdr>
            <w:top w:val="none" w:sz="0" w:space="0" w:color="auto"/>
            <w:left w:val="none" w:sz="0" w:space="0" w:color="auto"/>
            <w:bottom w:val="none" w:sz="0" w:space="0" w:color="auto"/>
            <w:right w:val="none" w:sz="0" w:space="0" w:color="auto"/>
          </w:divBdr>
          <w:divsChild>
            <w:div w:id="414788370">
              <w:marLeft w:val="-75"/>
              <w:marRight w:val="0"/>
              <w:marTop w:val="30"/>
              <w:marBottom w:val="30"/>
              <w:divBdr>
                <w:top w:val="none" w:sz="0" w:space="0" w:color="auto"/>
                <w:left w:val="none" w:sz="0" w:space="0" w:color="auto"/>
                <w:bottom w:val="none" w:sz="0" w:space="0" w:color="auto"/>
                <w:right w:val="none" w:sz="0" w:space="0" w:color="auto"/>
              </w:divBdr>
              <w:divsChild>
                <w:div w:id="102381863">
                  <w:marLeft w:val="0"/>
                  <w:marRight w:val="0"/>
                  <w:marTop w:val="0"/>
                  <w:marBottom w:val="0"/>
                  <w:divBdr>
                    <w:top w:val="none" w:sz="0" w:space="0" w:color="auto"/>
                    <w:left w:val="none" w:sz="0" w:space="0" w:color="auto"/>
                    <w:bottom w:val="none" w:sz="0" w:space="0" w:color="auto"/>
                    <w:right w:val="none" w:sz="0" w:space="0" w:color="auto"/>
                  </w:divBdr>
                  <w:divsChild>
                    <w:div w:id="1686400385">
                      <w:marLeft w:val="0"/>
                      <w:marRight w:val="0"/>
                      <w:marTop w:val="0"/>
                      <w:marBottom w:val="0"/>
                      <w:divBdr>
                        <w:top w:val="none" w:sz="0" w:space="0" w:color="auto"/>
                        <w:left w:val="none" w:sz="0" w:space="0" w:color="auto"/>
                        <w:bottom w:val="none" w:sz="0" w:space="0" w:color="auto"/>
                        <w:right w:val="none" w:sz="0" w:space="0" w:color="auto"/>
                      </w:divBdr>
                    </w:div>
                  </w:divsChild>
                </w:div>
                <w:div w:id="103155422">
                  <w:marLeft w:val="0"/>
                  <w:marRight w:val="0"/>
                  <w:marTop w:val="0"/>
                  <w:marBottom w:val="0"/>
                  <w:divBdr>
                    <w:top w:val="none" w:sz="0" w:space="0" w:color="auto"/>
                    <w:left w:val="none" w:sz="0" w:space="0" w:color="auto"/>
                    <w:bottom w:val="none" w:sz="0" w:space="0" w:color="auto"/>
                    <w:right w:val="none" w:sz="0" w:space="0" w:color="auto"/>
                  </w:divBdr>
                  <w:divsChild>
                    <w:div w:id="753281791">
                      <w:marLeft w:val="0"/>
                      <w:marRight w:val="0"/>
                      <w:marTop w:val="0"/>
                      <w:marBottom w:val="0"/>
                      <w:divBdr>
                        <w:top w:val="none" w:sz="0" w:space="0" w:color="auto"/>
                        <w:left w:val="none" w:sz="0" w:space="0" w:color="auto"/>
                        <w:bottom w:val="none" w:sz="0" w:space="0" w:color="auto"/>
                        <w:right w:val="none" w:sz="0" w:space="0" w:color="auto"/>
                      </w:divBdr>
                    </w:div>
                  </w:divsChild>
                </w:div>
                <w:div w:id="131290566">
                  <w:marLeft w:val="0"/>
                  <w:marRight w:val="0"/>
                  <w:marTop w:val="0"/>
                  <w:marBottom w:val="0"/>
                  <w:divBdr>
                    <w:top w:val="none" w:sz="0" w:space="0" w:color="auto"/>
                    <w:left w:val="none" w:sz="0" w:space="0" w:color="auto"/>
                    <w:bottom w:val="none" w:sz="0" w:space="0" w:color="auto"/>
                    <w:right w:val="none" w:sz="0" w:space="0" w:color="auto"/>
                  </w:divBdr>
                  <w:divsChild>
                    <w:div w:id="1229413453">
                      <w:marLeft w:val="0"/>
                      <w:marRight w:val="0"/>
                      <w:marTop w:val="0"/>
                      <w:marBottom w:val="0"/>
                      <w:divBdr>
                        <w:top w:val="none" w:sz="0" w:space="0" w:color="auto"/>
                        <w:left w:val="none" w:sz="0" w:space="0" w:color="auto"/>
                        <w:bottom w:val="none" w:sz="0" w:space="0" w:color="auto"/>
                        <w:right w:val="none" w:sz="0" w:space="0" w:color="auto"/>
                      </w:divBdr>
                    </w:div>
                  </w:divsChild>
                </w:div>
                <w:div w:id="262148262">
                  <w:marLeft w:val="0"/>
                  <w:marRight w:val="0"/>
                  <w:marTop w:val="0"/>
                  <w:marBottom w:val="0"/>
                  <w:divBdr>
                    <w:top w:val="none" w:sz="0" w:space="0" w:color="auto"/>
                    <w:left w:val="none" w:sz="0" w:space="0" w:color="auto"/>
                    <w:bottom w:val="none" w:sz="0" w:space="0" w:color="auto"/>
                    <w:right w:val="none" w:sz="0" w:space="0" w:color="auto"/>
                  </w:divBdr>
                  <w:divsChild>
                    <w:div w:id="1168134103">
                      <w:marLeft w:val="0"/>
                      <w:marRight w:val="0"/>
                      <w:marTop w:val="0"/>
                      <w:marBottom w:val="0"/>
                      <w:divBdr>
                        <w:top w:val="none" w:sz="0" w:space="0" w:color="auto"/>
                        <w:left w:val="none" w:sz="0" w:space="0" w:color="auto"/>
                        <w:bottom w:val="none" w:sz="0" w:space="0" w:color="auto"/>
                        <w:right w:val="none" w:sz="0" w:space="0" w:color="auto"/>
                      </w:divBdr>
                    </w:div>
                  </w:divsChild>
                </w:div>
                <w:div w:id="328949279">
                  <w:marLeft w:val="0"/>
                  <w:marRight w:val="0"/>
                  <w:marTop w:val="0"/>
                  <w:marBottom w:val="0"/>
                  <w:divBdr>
                    <w:top w:val="none" w:sz="0" w:space="0" w:color="auto"/>
                    <w:left w:val="none" w:sz="0" w:space="0" w:color="auto"/>
                    <w:bottom w:val="none" w:sz="0" w:space="0" w:color="auto"/>
                    <w:right w:val="none" w:sz="0" w:space="0" w:color="auto"/>
                  </w:divBdr>
                  <w:divsChild>
                    <w:div w:id="923808118">
                      <w:marLeft w:val="0"/>
                      <w:marRight w:val="0"/>
                      <w:marTop w:val="0"/>
                      <w:marBottom w:val="0"/>
                      <w:divBdr>
                        <w:top w:val="none" w:sz="0" w:space="0" w:color="auto"/>
                        <w:left w:val="none" w:sz="0" w:space="0" w:color="auto"/>
                        <w:bottom w:val="none" w:sz="0" w:space="0" w:color="auto"/>
                        <w:right w:val="none" w:sz="0" w:space="0" w:color="auto"/>
                      </w:divBdr>
                    </w:div>
                  </w:divsChild>
                </w:div>
                <w:div w:id="367948541">
                  <w:marLeft w:val="0"/>
                  <w:marRight w:val="0"/>
                  <w:marTop w:val="0"/>
                  <w:marBottom w:val="0"/>
                  <w:divBdr>
                    <w:top w:val="none" w:sz="0" w:space="0" w:color="auto"/>
                    <w:left w:val="none" w:sz="0" w:space="0" w:color="auto"/>
                    <w:bottom w:val="none" w:sz="0" w:space="0" w:color="auto"/>
                    <w:right w:val="none" w:sz="0" w:space="0" w:color="auto"/>
                  </w:divBdr>
                  <w:divsChild>
                    <w:div w:id="1897862082">
                      <w:marLeft w:val="0"/>
                      <w:marRight w:val="0"/>
                      <w:marTop w:val="0"/>
                      <w:marBottom w:val="0"/>
                      <w:divBdr>
                        <w:top w:val="none" w:sz="0" w:space="0" w:color="auto"/>
                        <w:left w:val="none" w:sz="0" w:space="0" w:color="auto"/>
                        <w:bottom w:val="none" w:sz="0" w:space="0" w:color="auto"/>
                        <w:right w:val="none" w:sz="0" w:space="0" w:color="auto"/>
                      </w:divBdr>
                    </w:div>
                  </w:divsChild>
                </w:div>
                <w:div w:id="495609212">
                  <w:marLeft w:val="0"/>
                  <w:marRight w:val="0"/>
                  <w:marTop w:val="0"/>
                  <w:marBottom w:val="0"/>
                  <w:divBdr>
                    <w:top w:val="none" w:sz="0" w:space="0" w:color="auto"/>
                    <w:left w:val="none" w:sz="0" w:space="0" w:color="auto"/>
                    <w:bottom w:val="none" w:sz="0" w:space="0" w:color="auto"/>
                    <w:right w:val="none" w:sz="0" w:space="0" w:color="auto"/>
                  </w:divBdr>
                  <w:divsChild>
                    <w:div w:id="417562447">
                      <w:marLeft w:val="0"/>
                      <w:marRight w:val="0"/>
                      <w:marTop w:val="0"/>
                      <w:marBottom w:val="0"/>
                      <w:divBdr>
                        <w:top w:val="none" w:sz="0" w:space="0" w:color="auto"/>
                        <w:left w:val="none" w:sz="0" w:space="0" w:color="auto"/>
                        <w:bottom w:val="none" w:sz="0" w:space="0" w:color="auto"/>
                        <w:right w:val="none" w:sz="0" w:space="0" w:color="auto"/>
                      </w:divBdr>
                    </w:div>
                  </w:divsChild>
                </w:div>
                <w:div w:id="499583672">
                  <w:marLeft w:val="0"/>
                  <w:marRight w:val="0"/>
                  <w:marTop w:val="0"/>
                  <w:marBottom w:val="0"/>
                  <w:divBdr>
                    <w:top w:val="none" w:sz="0" w:space="0" w:color="auto"/>
                    <w:left w:val="none" w:sz="0" w:space="0" w:color="auto"/>
                    <w:bottom w:val="none" w:sz="0" w:space="0" w:color="auto"/>
                    <w:right w:val="none" w:sz="0" w:space="0" w:color="auto"/>
                  </w:divBdr>
                  <w:divsChild>
                    <w:div w:id="1628274044">
                      <w:marLeft w:val="0"/>
                      <w:marRight w:val="0"/>
                      <w:marTop w:val="0"/>
                      <w:marBottom w:val="0"/>
                      <w:divBdr>
                        <w:top w:val="none" w:sz="0" w:space="0" w:color="auto"/>
                        <w:left w:val="none" w:sz="0" w:space="0" w:color="auto"/>
                        <w:bottom w:val="none" w:sz="0" w:space="0" w:color="auto"/>
                        <w:right w:val="none" w:sz="0" w:space="0" w:color="auto"/>
                      </w:divBdr>
                    </w:div>
                  </w:divsChild>
                </w:div>
                <w:div w:id="549221784">
                  <w:marLeft w:val="0"/>
                  <w:marRight w:val="0"/>
                  <w:marTop w:val="0"/>
                  <w:marBottom w:val="0"/>
                  <w:divBdr>
                    <w:top w:val="none" w:sz="0" w:space="0" w:color="auto"/>
                    <w:left w:val="none" w:sz="0" w:space="0" w:color="auto"/>
                    <w:bottom w:val="none" w:sz="0" w:space="0" w:color="auto"/>
                    <w:right w:val="none" w:sz="0" w:space="0" w:color="auto"/>
                  </w:divBdr>
                  <w:divsChild>
                    <w:div w:id="1103837502">
                      <w:marLeft w:val="0"/>
                      <w:marRight w:val="0"/>
                      <w:marTop w:val="0"/>
                      <w:marBottom w:val="0"/>
                      <w:divBdr>
                        <w:top w:val="none" w:sz="0" w:space="0" w:color="auto"/>
                        <w:left w:val="none" w:sz="0" w:space="0" w:color="auto"/>
                        <w:bottom w:val="none" w:sz="0" w:space="0" w:color="auto"/>
                        <w:right w:val="none" w:sz="0" w:space="0" w:color="auto"/>
                      </w:divBdr>
                    </w:div>
                  </w:divsChild>
                </w:div>
                <w:div w:id="589433906">
                  <w:marLeft w:val="0"/>
                  <w:marRight w:val="0"/>
                  <w:marTop w:val="0"/>
                  <w:marBottom w:val="0"/>
                  <w:divBdr>
                    <w:top w:val="none" w:sz="0" w:space="0" w:color="auto"/>
                    <w:left w:val="none" w:sz="0" w:space="0" w:color="auto"/>
                    <w:bottom w:val="none" w:sz="0" w:space="0" w:color="auto"/>
                    <w:right w:val="none" w:sz="0" w:space="0" w:color="auto"/>
                  </w:divBdr>
                  <w:divsChild>
                    <w:div w:id="1736396476">
                      <w:marLeft w:val="0"/>
                      <w:marRight w:val="0"/>
                      <w:marTop w:val="0"/>
                      <w:marBottom w:val="0"/>
                      <w:divBdr>
                        <w:top w:val="none" w:sz="0" w:space="0" w:color="auto"/>
                        <w:left w:val="none" w:sz="0" w:space="0" w:color="auto"/>
                        <w:bottom w:val="none" w:sz="0" w:space="0" w:color="auto"/>
                        <w:right w:val="none" w:sz="0" w:space="0" w:color="auto"/>
                      </w:divBdr>
                    </w:div>
                  </w:divsChild>
                </w:div>
                <w:div w:id="604970136">
                  <w:marLeft w:val="0"/>
                  <w:marRight w:val="0"/>
                  <w:marTop w:val="0"/>
                  <w:marBottom w:val="0"/>
                  <w:divBdr>
                    <w:top w:val="none" w:sz="0" w:space="0" w:color="auto"/>
                    <w:left w:val="none" w:sz="0" w:space="0" w:color="auto"/>
                    <w:bottom w:val="none" w:sz="0" w:space="0" w:color="auto"/>
                    <w:right w:val="none" w:sz="0" w:space="0" w:color="auto"/>
                  </w:divBdr>
                  <w:divsChild>
                    <w:div w:id="470631636">
                      <w:marLeft w:val="0"/>
                      <w:marRight w:val="0"/>
                      <w:marTop w:val="0"/>
                      <w:marBottom w:val="0"/>
                      <w:divBdr>
                        <w:top w:val="none" w:sz="0" w:space="0" w:color="auto"/>
                        <w:left w:val="none" w:sz="0" w:space="0" w:color="auto"/>
                        <w:bottom w:val="none" w:sz="0" w:space="0" w:color="auto"/>
                        <w:right w:val="none" w:sz="0" w:space="0" w:color="auto"/>
                      </w:divBdr>
                    </w:div>
                  </w:divsChild>
                </w:div>
                <w:div w:id="722799214">
                  <w:marLeft w:val="0"/>
                  <w:marRight w:val="0"/>
                  <w:marTop w:val="0"/>
                  <w:marBottom w:val="0"/>
                  <w:divBdr>
                    <w:top w:val="none" w:sz="0" w:space="0" w:color="auto"/>
                    <w:left w:val="none" w:sz="0" w:space="0" w:color="auto"/>
                    <w:bottom w:val="none" w:sz="0" w:space="0" w:color="auto"/>
                    <w:right w:val="none" w:sz="0" w:space="0" w:color="auto"/>
                  </w:divBdr>
                  <w:divsChild>
                    <w:div w:id="1809586736">
                      <w:marLeft w:val="0"/>
                      <w:marRight w:val="0"/>
                      <w:marTop w:val="0"/>
                      <w:marBottom w:val="0"/>
                      <w:divBdr>
                        <w:top w:val="none" w:sz="0" w:space="0" w:color="auto"/>
                        <w:left w:val="none" w:sz="0" w:space="0" w:color="auto"/>
                        <w:bottom w:val="none" w:sz="0" w:space="0" w:color="auto"/>
                        <w:right w:val="none" w:sz="0" w:space="0" w:color="auto"/>
                      </w:divBdr>
                    </w:div>
                  </w:divsChild>
                </w:div>
                <w:div w:id="726728930">
                  <w:marLeft w:val="0"/>
                  <w:marRight w:val="0"/>
                  <w:marTop w:val="0"/>
                  <w:marBottom w:val="0"/>
                  <w:divBdr>
                    <w:top w:val="none" w:sz="0" w:space="0" w:color="auto"/>
                    <w:left w:val="none" w:sz="0" w:space="0" w:color="auto"/>
                    <w:bottom w:val="none" w:sz="0" w:space="0" w:color="auto"/>
                    <w:right w:val="none" w:sz="0" w:space="0" w:color="auto"/>
                  </w:divBdr>
                  <w:divsChild>
                    <w:div w:id="1406150086">
                      <w:marLeft w:val="0"/>
                      <w:marRight w:val="0"/>
                      <w:marTop w:val="0"/>
                      <w:marBottom w:val="0"/>
                      <w:divBdr>
                        <w:top w:val="none" w:sz="0" w:space="0" w:color="auto"/>
                        <w:left w:val="none" w:sz="0" w:space="0" w:color="auto"/>
                        <w:bottom w:val="none" w:sz="0" w:space="0" w:color="auto"/>
                        <w:right w:val="none" w:sz="0" w:space="0" w:color="auto"/>
                      </w:divBdr>
                    </w:div>
                  </w:divsChild>
                </w:div>
                <w:div w:id="830174809">
                  <w:marLeft w:val="0"/>
                  <w:marRight w:val="0"/>
                  <w:marTop w:val="0"/>
                  <w:marBottom w:val="0"/>
                  <w:divBdr>
                    <w:top w:val="none" w:sz="0" w:space="0" w:color="auto"/>
                    <w:left w:val="none" w:sz="0" w:space="0" w:color="auto"/>
                    <w:bottom w:val="none" w:sz="0" w:space="0" w:color="auto"/>
                    <w:right w:val="none" w:sz="0" w:space="0" w:color="auto"/>
                  </w:divBdr>
                  <w:divsChild>
                    <w:div w:id="1552186398">
                      <w:marLeft w:val="0"/>
                      <w:marRight w:val="0"/>
                      <w:marTop w:val="0"/>
                      <w:marBottom w:val="0"/>
                      <w:divBdr>
                        <w:top w:val="none" w:sz="0" w:space="0" w:color="auto"/>
                        <w:left w:val="none" w:sz="0" w:space="0" w:color="auto"/>
                        <w:bottom w:val="none" w:sz="0" w:space="0" w:color="auto"/>
                        <w:right w:val="none" w:sz="0" w:space="0" w:color="auto"/>
                      </w:divBdr>
                    </w:div>
                  </w:divsChild>
                </w:div>
                <w:div w:id="980884401">
                  <w:marLeft w:val="0"/>
                  <w:marRight w:val="0"/>
                  <w:marTop w:val="0"/>
                  <w:marBottom w:val="0"/>
                  <w:divBdr>
                    <w:top w:val="none" w:sz="0" w:space="0" w:color="auto"/>
                    <w:left w:val="none" w:sz="0" w:space="0" w:color="auto"/>
                    <w:bottom w:val="none" w:sz="0" w:space="0" w:color="auto"/>
                    <w:right w:val="none" w:sz="0" w:space="0" w:color="auto"/>
                  </w:divBdr>
                  <w:divsChild>
                    <w:div w:id="21055588">
                      <w:marLeft w:val="0"/>
                      <w:marRight w:val="0"/>
                      <w:marTop w:val="0"/>
                      <w:marBottom w:val="0"/>
                      <w:divBdr>
                        <w:top w:val="none" w:sz="0" w:space="0" w:color="auto"/>
                        <w:left w:val="none" w:sz="0" w:space="0" w:color="auto"/>
                        <w:bottom w:val="none" w:sz="0" w:space="0" w:color="auto"/>
                        <w:right w:val="none" w:sz="0" w:space="0" w:color="auto"/>
                      </w:divBdr>
                    </w:div>
                  </w:divsChild>
                </w:div>
                <w:div w:id="1066151858">
                  <w:marLeft w:val="0"/>
                  <w:marRight w:val="0"/>
                  <w:marTop w:val="0"/>
                  <w:marBottom w:val="0"/>
                  <w:divBdr>
                    <w:top w:val="none" w:sz="0" w:space="0" w:color="auto"/>
                    <w:left w:val="none" w:sz="0" w:space="0" w:color="auto"/>
                    <w:bottom w:val="none" w:sz="0" w:space="0" w:color="auto"/>
                    <w:right w:val="none" w:sz="0" w:space="0" w:color="auto"/>
                  </w:divBdr>
                  <w:divsChild>
                    <w:div w:id="1812401288">
                      <w:marLeft w:val="0"/>
                      <w:marRight w:val="0"/>
                      <w:marTop w:val="0"/>
                      <w:marBottom w:val="0"/>
                      <w:divBdr>
                        <w:top w:val="none" w:sz="0" w:space="0" w:color="auto"/>
                        <w:left w:val="none" w:sz="0" w:space="0" w:color="auto"/>
                        <w:bottom w:val="none" w:sz="0" w:space="0" w:color="auto"/>
                        <w:right w:val="none" w:sz="0" w:space="0" w:color="auto"/>
                      </w:divBdr>
                    </w:div>
                  </w:divsChild>
                </w:div>
                <w:div w:id="1121799753">
                  <w:marLeft w:val="0"/>
                  <w:marRight w:val="0"/>
                  <w:marTop w:val="0"/>
                  <w:marBottom w:val="0"/>
                  <w:divBdr>
                    <w:top w:val="none" w:sz="0" w:space="0" w:color="auto"/>
                    <w:left w:val="none" w:sz="0" w:space="0" w:color="auto"/>
                    <w:bottom w:val="none" w:sz="0" w:space="0" w:color="auto"/>
                    <w:right w:val="none" w:sz="0" w:space="0" w:color="auto"/>
                  </w:divBdr>
                  <w:divsChild>
                    <w:div w:id="1285041801">
                      <w:marLeft w:val="0"/>
                      <w:marRight w:val="0"/>
                      <w:marTop w:val="0"/>
                      <w:marBottom w:val="0"/>
                      <w:divBdr>
                        <w:top w:val="none" w:sz="0" w:space="0" w:color="auto"/>
                        <w:left w:val="none" w:sz="0" w:space="0" w:color="auto"/>
                        <w:bottom w:val="none" w:sz="0" w:space="0" w:color="auto"/>
                        <w:right w:val="none" w:sz="0" w:space="0" w:color="auto"/>
                      </w:divBdr>
                    </w:div>
                  </w:divsChild>
                </w:div>
                <w:div w:id="1186865622">
                  <w:marLeft w:val="0"/>
                  <w:marRight w:val="0"/>
                  <w:marTop w:val="0"/>
                  <w:marBottom w:val="0"/>
                  <w:divBdr>
                    <w:top w:val="none" w:sz="0" w:space="0" w:color="auto"/>
                    <w:left w:val="none" w:sz="0" w:space="0" w:color="auto"/>
                    <w:bottom w:val="none" w:sz="0" w:space="0" w:color="auto"/>
                    <w:right w:val="none" w:sz="0" w:space="0" w:color="auto"/>
                  </w:divBdr>
                  <w:divsChild>
                    <w:div w:id="1858930660">
                      <w:marLeft w:val="0"/>
                      <w:marRight w:val="0"/>
                      <w:marTop w:val="0"/>
                      <w:marBottom w:val="0"/>
                      <w:divBdr>
                        <w:top w:val="none" w:sz="0" w:space="0" w:color="auto"/>
                        <w:left w:val="none" w:sz="0" w:space="0" w:color="auto"/>
                        <w:bottom w:val="none" w:sz="0" w:space="0" w:color="auto"/>
                        <w:right w:val="none" w:sz="0" w:space="0" w:color="auto"/>
                      </w:divBdr>
                    </w:div>
                  </w:divsChild>
                </w:div>
                <w:div w:id="1212644933">
                  <w:marLeft w:val="0"/>
                  <w:marRight w:val="0"/>
                  <w:marTop w:val="0"/>
                  <w:marBottom w:val="0"/>
                  <w:divBdr>
                    <w:top w:val="none" w:sz="0" w:space="0" w:color="auto"/>
                    <w:left w:val="none" w:sz="0" w:space="0" w:color="auto"/>
                    <w:bottom w:val="none" w:sz="0" w:space="0" w:color="auto"/>
                    <w:right w:val="none" w:sz="0" w:space="0" w:color="auto"/>
                  </w:divBdr>
                  <w:divsChild>
                    <w:div w:id="1166165252">
                      <w:marLeft w:val="0"/>
                      <w:marRight w:val="0"/>
                      <w:marTop w:val="0"/>
                      <w:marBottom w:val="0"/>
                      <w:divBdr>
                        <w:top w:val="none" w:sz="0" w:space="0" w:color="auto"/>
                        <w:left w:val="none" w:sz="0" w:space="0" w:color="auto"/>
                        <w:bottom w:val="none" w:sz="0" w:space="0" w:color="auto"/>
                        <w:right w:val="none" w:sz="0" w:space="0" w:color="auto"/>
                      </w:divBdr>
                    </w:div>
                  </w:divsChild>
                </w:div>
                <w:div w:id="1381396329">
                  <w:marLeft w:val="0"/>
                  <w:marRight w:val="0"/>
                  <w:marTop w:val="0"/>
                  <w:marBottom w:val="0"/>
                  <w:divBdr>
                    <w:top w:val="none" w:sz="0" w:space="0" w:color="auto"/>
                    <w:left w:val="none" w:sz="0" w:space="0" w:color="auto"/>
                    <w:bottom w:val="none" w:sz="0" w:space="0" w:color="auto"/>
                    <w:right w:val="none" w:sz="0" w:space="0" w:color="auto"/>
                  </w:divBdr>
                  <w:divsChild>
                    <w:div w:id="2078819185">
                      <w:marLeft w:val="0"/>
                      <w:marRight w:val="0"/>
                      <w:marTop w:val="0"/>
                      <w:marBottom w:val="0"/>
                      <w:divBdr>
                        <w:top w:val="none" w:sz="0" w:space="0" w:color="auto"/>
                        <w:left w:val="none" w:sz="0" w:space="0" w:color="auto"/>
                        <w:bottom w:val="none" w:sz="0" w:space="0" w:color="auto"/>
                        <w:right w:val="none" w:sz="0" w:space="0" w:color="auto"/>
                      </w:divBdr>
                    </w:div>
                  </w:divsChild>
                </w:div>
                <w:div w:id="1438909587">
                  <w:marLeft w:val="0"/>
                  <w:marRight w:val="0"/>
                  <w:marTop w:val="0"/>
                  <w:marBottom w:val="0"/>
                  <w:divBdr>
                    <w:top w:val="none" w:sz="0" w:space="0" w:color="auto"/>
                    <w:left w:val="none" w:sz="0" w:space="0" w:color="auto"/>
                    <w:bottom w:val="none" w:sz="0" w:space="0" w:color="auto"/>
                    <w:right w:val="none" w:sz="0" w:space="0" w:color="auto"/>
                  </w:divBdr>
                  <w:divsChild>
                    <w:div w:id="990477113">
                      <w:marLeft w:val="0"/>
                      <w:marRight w:val="0"/>
                      <w:marTop w:val="0"/>
                      <w:marBottom w:val="0"/>
                      <w:divBdr>
                        <w:top w:val="none" w:sz="0" w:space="0" w:color="auto"/>
                        <w:left w:val="none" w:sz="0" w:space="0" w:color="auto"/>
                        <w:bottom w:val="none" w:sz="0" w:space="0" w:color="auto"/>
                        <w:right w:val="none" w:sz="0" w:space="0" w:color="auto"/>
                      </w:divBdr>
                    </w:div>
                  </w:divsChild>
                </w:div>
                <w:div w:id="1479032284">
                  <w:marLeft w:val="0"/>
                  <w:marRight w:val="0"/>
                  <w:marTop w:val="0"/>
                  <w:marBottom w:val="0"/>
                  <w:divBdr>
                    <w:top w:val="none" w:sz="0" w:space="0" w:color="auto"/>
                    <w:left w:val="none" w:sz="0" w:space="0" w:color="auto"/>
                    <w:bottom w:val="none" w:sz="0" w:space="0" w:color="auto"/>
                    <w:right w:val="none" w:sz="0" w:space="0" w:color="auto"/>
                  </w:divBdr>
                  <w:divsChild>
                    <w:div w:id="1033574370">
                      <w:marLeft w:val="0"/>
                      <w:marRight w:val="0"/>
                      <w:marTop w:val="0"/>
                      <w:marBottom w:val="0"/>
                      <w:divBdr>
                        <w:top w:val="none" w:sz="0" w:space="0" w:color="auto"/>
                        <w:left w:val="none" w:sz="0" w:space="0" w:color="auto"/>
                        <w:bottom w:val="none" w:sz="0" w:space="0" w:color="auto"/>
                        <w:right w:val="none" w:sz="0" w:space="0" w:color="auto"/>
                      </w:divBdr>
                    </w:div>
                  </w:divsChild>
                </w:div>
                <w:div w:id="1502771680">
                  <w:marLeft w:val="0"/>
                  <w:marRight w:val="0"/>
                  <w:marTop w:val="0"/>
                  <w:marBottom w:val="0"/>
                  <w:divBdr>
                    <w:top w:val="none" w:sz="0" w:space="0" w:color="auto"/>
                    <w:left w:val="none" w:sz="0" w:space="0" w:color="auto"/>
                    <w:bottom w:val="none" w:sz="0" w:space="0" w:color="auto"/>
                    <w:right w:val="none" w:sz="0" w:space="0" w:color="auto"/>
                  </w:divBdr>
                  <w:divsChild>
                    <w:div w:id="67310279">
                      <w:marLeft w:val="0"/>
                      <w:marRight w:val="0"/>
                      <w:marTop w:val="0"/>
                      <w:marBottom w:val="0"/>
                      <w:divBdr>
                        <w:top w:val="none" w:sz="0" w:space="0" w:color="auto"/>
                        <w:left w:val="none" w:sz="0" w:space="0" w:color="auto"/>
                        <w:bottom w:val="none" w:sz="0" w:space="0" w:color="auto"/>
                        <w:right w:val="none" w:sz="0" w:space="0" w:color="auto"/>
                      </w:divBdr>
                    </w:div>
                  </w:divsChild>
                </w:div>
                <w:div w:id="1531338284">
                  <w:marLeft w:val="0"/>
                  <w:marRight w:val="0"/>
                  <w:marTop w:val="0"/>
                  <w:marBottom w:val="0"/>
                  <w:divBdr>
                    <w:top w:val="none" w:sz="0" w:space="0" w:color="auto"/>
                    <w:left w:val="none" w:sz="0" w:space="0" w:color="auto"/>
                    <w:bottom w:val="none" w:sz="0" w:space="0" w:color="auto"/>
                    <w:right w:val="none" w:sz="0" w:space="0" w:color="auto"/>
                  </w:divBdr>
                  <w:divsChild>
                    <w:div w:id="368533213">
                      <w:marLeft w:val="0"/>
                      <w:marRight w:val="0"/>
                      <w:marTop w:val="0"/>
                      <w:marBottom w:val="0"/>
                      <w:divBdr>
                        <w:top w:val="none" w:sz="0" w:space="0" w:color="auto"/>
                        <w:left w:val="none" w:sz="0" w:space="0" w:color="auto"/>
                        <w:bottom w:val="none" w:sz="0" w:space="0" w:color="auto"/>
                        <w:right w:val="none" w:sz="0" w:space="0" w:color="auto"/>
                      </w:divBdr>
                    </w:div>
                  </w:divsChild>
                </w:div>
                <w:div w:id="1614633253">
                  <w:marLeft w:val="0"/>
                  <w:marRight w:val="0"/>
                  <w:marTop w:val="0"/>
                  <w:marBottom w:val="0"/>
                  <w:divBdr>
                    <w:top w:val="none" w:sz="0" w:space="0" w:color="auto"/>
                    <w:left w:val="none" w:sz="0" w:space="0" w:color="auto"/>
                    <w:bottom w:val="none" w:sz="0" w:space="0" w:color="auto"/>
                    <w:right w:val="none" w:sz="0" w:space="0" w:color="auto"/>
                  </w:divBdr>
                  <w:divsChild>
                    <w:div w:id="2017464520">
                      <w:marLeft w:val="0"/>
                      <w:marRight w:val="0"/>
                      <w:marTop w:val="0"/>
                      <w:marBottom w:val="0"/>
                      <w:divBdr>
                        <w:top w:val="none" w:sz="0" w:space="0" w:color="auto"/>
                        <w:left w:val="none" w:sz="0" w:space="0" w:color="auto"/>
                        <w:bottom w:val="none" w:sz="0" w:space="0" w:color="auto"/>
                        <w:right w:val="none" w:sz="0" w:space="0" w:color="auto"/>
                      </w:divBdr>
                    </w:div>
                  </w:divsChild>
                </w:div>
                <w:div w:id="1738629847">
                  <w:marLeft w:val="0"/>
                  <w:marRight w:val="0"/>
                  <w:marTop w:val="0"/>
                  <w:marBottom w:val="0"/>
                  <w:divBdr>
                    <w:top w:val="none" w:sz="0" w:space="0" w:color="auto"/>
                    <w:left w:val="none" w:sz="0" w:space="0" w:color="auto"/>
                    <w:bottom w:val="none" w:sz="0" w:space="0" w:color="auto"/>
                    <w:right w:val="none" w:sz="0" w:space="0" w:color="auto"/>
                  </w:divBdr>
                  <w:divsChild>
                    <w:div w:id="1936018763">
                      <w:marLeft w:val="0"/>
                      <w:marRight w:val="0"/>
                      <w:marTop w:val="0"/>
                      <w:marBottom w:val="0"/>
                      <w:divBdr>
                        <w:top w:val="none" w:sz="0" w:space="0" w:color="auto"/>
                        <w:left w:val="none" w:sz="0" w:space="0" w:color="auto"/>
                        <w:bottom w:val="none" w:sz="0" w:space="0" w:color="auto"/>
                        <w:right w:val="none" w:sz="0" w:space="0" w:color="auto"/>
                      </w:divBdr>
                    </w:div>
                  </w:divsChild>
                </w:div>
                <w:div w:id="1788154560">
                  <w:marLeft w:val="0"/>
                  <w:marRight w:val="0"/>
                  <w:marTop w:val="0"/>
                  <w:marBottom w:val="0"/>
                  <w:divBdr>
                    <w:top w:val="none" w:sz="0" w:space="0" w:color="auto"/>
                    <w:left w:val="none" w:sz="0" w:space="0" w:color="auto"/>
                    <w:bottom w:val="none" w:sz="0" w:space="0" w:color="auto"/>
                    <w:right w:val="none" w:sz="0" w:space="0" w:color="auto"/>
                  </w:divBdr>
                  <w:divsChild>
                    <w:div w:id="1956447365">
                      <w:marLeft w:val="0"/>
                      <w:marRight w:val="0"/>
                      <w:marTop w:val="0"/>
                      <w:marBottom w:val="0"/>
                      <w:divBdr>
                        <w:top w:val="none" w:sz="0" w:space="0" w:color="auto"/>
                        <w:left w:val="none" w:sz="0" w:space="0" w:color="auto"/>
                        <w:bottom w:val="none" w:sz="0" w:space="0" w:color="auto"/>
                        <w:right w:val="none" w:sz="0" w:space="0" w:color="auto"/>
                      </w:divBdr>
                    </w:div>
                  </w:divsChild>
                </w:div>
                <w:div w:id="1814832247">
                  <w:marLeft w:val="0"/>
                  <w:marRight w:val="0"/>
                  <w:marTop w:val="0"/>
                  <w:marBottom w:val="0"/>
                  <w:divBdr>
                    <w:top w:val="none" w:sz="0" w:space="0" w:color="auto"/>
                    <w:left w:val="none" w:sz="0" w:space="0" w:color="auto"/>
                    <w:bottom w:val="none" w:sz="0" w:space="0" w:color="auto"/>
                    <w:right w:val="none" w:sz="0" w:space="0" w:color="auto"/>
                  </w:divBdr>
                  <w:divsChild>
                    <w:div w:id="1945534396">
                      <w:marLeft w:val="0"/>
                      <w:marRight w:val="0"/>
                      <w:marTop w:val="0"/>
                      <w:marBottom w:val="0"/>
                      <w:divBdr>
                        <w:top w:val="none" w:sz="0" w:space="0" w:color="auto"/>
                        <w:left w:val="none" w:sz="0" w:space="0" w:color="auto"/>
                        <w:bottom w:val="none" w:sz="0" w:space="0" w:color="auto"/>
                        <w:right w:val="none" w:sz="0" w:space="0" w:color="auto"/>
                      </w:divBdr>
                    </w:div>
                  </w:divsChild>
                </w:div>
                <w:div w:id="1844125698">
                  <w:marLeft w:val="0"/>
                  <w:marRight w:val="0"/>
                  <w:marTop w:val="0"/>
                  <w:marBottom w:val="0"/>
                  <w:divBdr>
                    <w:top w:val="none" w:sz="0" w:space="0" w:color="auto"/>
                    <w:left w:val="none" w:sz="0" w:space="0" w:color="auto"/>
                    <w:bottom w:val="none" w:sz="0" w:space="0" w:color="auto"/>
                    <w:right w:val="none" w:sz="0" w:space="0" w:color="auto"/>
                  </w:divBdr>
                  <w:divsChild>
                    <w:div w:id="1515614619">
                      <w:marLeft w:val="0"/>
                      <w:marRight w:val="0"/>
                      <w:marTop w:val="0"/>
                      <w:marBottom w:val="0"/>
                      <w:divBdr>
                        <w:top w:val="none" w:sz="0" w:space="0" w:color="auto"/>
                        <w:left w:val="none" w:sz="0" w:space="0" w:color="auto"/>
                        <w:bottom w:val="none" w:sz="0" w:space="0" w:color="auto"/>
                        <w:right w:val="none" w:sz="0" w:space="0" w:color="auto"/>
                      </w:divBdr>
                    </w:div>
                  </w:divsChild>
                </w:div>
                <w:div w:id="1901597903">
                  <w:marLeft w:val="0"/>
                  <w:marRight w:val="0"/>
                  <w:marTop w:val="0"/>
                  <w:marBottom w:val="0"/>
                  <w:divBdr>
                    <w:top w:val="none" w:sz="0" w:space="0" w:color="auto"/>
                    <w:left w:val="none" w:sz="0" w:space="0" w:color="auto"/>
                    <w:bottom w:val="none" w:sz="0" w:space="0" w:color="auto"/>
                    <w:right w:val="none" w:sz="0" w:space="0" w:color="auto"/>
                  </w:divBdr>
                  <w:divsChild>
                    <w:div w:id="691371590">
                      <w:marLeft w:val="0"/>
                      <w:marRight w:val="0"/>
                      <w:marTop w:val="0"/>
                      <w:marBottom w:val="0"/>
                      <w:divBdr>
                        <w:top w:val="none" w:sz="0" w:space="0" w:color="auto"/>
                        <w:left w:val="none" w:sz="0" w:space="0" w:color="auto"/>
                        <w:bottom w:val="none" w:sz="0" w:space="0" w:color="auto"/>
                        <w:right w:val="none" w:sz="0" w:space="0" w:color="auto"/>
                      </w:divBdr>
                    </w:div>
                  </w:divsChild>
                </w:div>
                <w:div w:id="2007975856">
                  <w:marLeft w:val="0"/>
                  <w:marRight w:val="0"/>
                  <w:marTop w:val="0"/>
                  <w:marBottom w:val="0"/>
                  <w:divBdr>
                    <w:top w:val="none" w:sz="0" w:space="0" w:color="auto"/>
                    <w:left w:val="none" w:sz="0" w:space="0" w:color="auto"/>
                    <w:bottom w:val="none" w:sz="0" w:space="0" w:color="auto"/>
                    <w:right w:val="none" w:sz="0" w:space="0" w:color="auto"/>
                  </w:divBdr>
                  <w:divsChild>
                    <w:div w:id="2006585628">
                      <w:marLeft w:val="0"/>
                      <w:marRight w:val="0"/>
                      <w:marTop w:val="0"/>
                      <w:marBottom w:val="0"/>
                      <w:divBdr>
                        <w:top w:val="none" w:sz="0" w:space="0" w:color="auto"/>
                        <w:left w:val="none" w:sz="0" w:space="0" w:color="auto"/>
                        <w:bottom w:val="none" w:sz="0" w:space="0" w:color="auto"/>
                        <w:right w:val="none" w:sz="0" w:space="0" w:color="auto"/>
                      </w:divBdr>
                    </w:div>
                  </w:divsChild>
                </w:div>
                <w:div w:id="2009400967">
                  <w:marLeft w:val="0"/>
                  <w:marRight w:val="0"/>
                  <w:marTop w:val="0"/>
                  <w:marBottom w:val="0"/>
                  <w:divBdr>
                    <w:top w:val="none" w:sz="0" w:space="0" w:color="auto"/>
                    <w:left w:val="none" w:sz="0" w:space="0" w:color="auto"/>
                    <w:bottom w:val="none" w:sz="0" w:space="0" w:color="auto"/>
                    <w:right w:val="none" w:sz="0" w:space="0" w:color="auto"/>
                  </w:divBdr>
                  <w:divsChild>
                    <w:div w:id="97078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82762">
          <w:marLeft w:val="0"/>
          <w:marRight w:val="0"/>
          <w:marTop w:val="0"/>
          <w:marBottom w:val="0"/>
          <w:divBdr>
            <w:top w:val="none" w:sz="0" w:space="0" w:color="auto"/>
            <w:left w:val="none" w:sz="0" w:space="0" w:color="auto"/>
            <w:bottom w:val="none" w:sz="0" w:space="0" w:color="auto"/>
            <w:right w:val="none" w:sz="0" w:space="0" w:color="auto"/>
          </w:divBdr>
          <w:divsChild>
            <w:div w:id="487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05649">
      <w:bodyDiv w:val="1"/>
      <w:marLeft w:val="0"/>
      <w:marRight w:val="0"/>
      <w:marTop w:val="0"/>
      <w:marBottom w:val="0"/>
      <w:divBdr>
        <w:top w:val="none" w:sz="0" w:space="0" w:color="auto"/>
        <w:left w:val="none" w:sz="0" w:space="0" w:color="auto"/>
        <w:bottom w:val="none" w:sz="0" w:space="0" w:color="auto"/>
        <w:right w:val="none" w:sz="0" w:space="0" w:color="auto"/>
      </w:divBdr>
    </w:div>
    <w:div w:id="807239374">
      <w:bodyDiv w:val="1"/>
      <w:marLeft w:val="0"/>
      <w:marRight w:val="0"/>
      <w:marTop w:val="0"/>
      <w:marBottom w:val="0"/>
      <w:divBdr>
        <w:top w:val="none" w:sz="0" w:space="0" w:color="auto"/>
        <w:left w:val="none" w:sz="0" w:space="0" w:color="auto"/>
        <w:bottom w:val="none" w:sz="0" w:space="0" w:color="auto"/>
        <w:right w:val="none" w:sz="0" w:space="0" w:color="auto"/>
      </w:divBdr>
    </w:div>
    <w:div w:id="863982485">
      <w:bodyDiv w:val="1"/>
      <w:marLeft w:val="0"/>
      <w:marRight w:val="0"/>
      <w:marTop w:val="0"/>
      <w:marBottom w:val="0"/>
      <w:divBdr>
        <w:top w:val="none" w:sz="0" w:space="0" w:color="auto"/>
        <w:left w:val="none" w:sz="0" w:space="0" w:color="auto"/>
        <w:bottom w:val="none" w:sz="0" w:space="0" w:color="auto"/>
        <w:right w:val="none" w:sz="0" w:space="0" w:color="auto"/>
      </w:divBdr>
    </w:div>
    <w:div w:id="916091756">
      <w:bodyDiv w:val="1"/>
      <w:marLeft w:val="0"/>
      <w:marRight w:val="0"/>
      <w:marTop w:val="0"/>
      <w:marBottom w:val="0"/>
      <w:divBdr>
        <w:top w:val="none" w:sz="0" w:space="0" w:color="auto"/>
        <w:left w:val="none" w:sz="0" w:space="0" w:color="auto"/>
        <w:bottom w:val="none" w:sz="0" w:space="0" w:color="auto"/>
        <w:right w:val="none" w:sz="0" w:space="0" w:color="auto"/>
      </w:divBdr>
      <w:divsChild>
        <w:div w:id="350838957">
          <w:marLeft w:val="0"/>
          <w:marRight w:val="0"/>
          <w:marTop w:val="0"/>
          <w:marBottom w:val="0"/>
          <w:divBdr>
            <w:top w:val="none" w:sz="0" w:space="0" w:color="auto"/>
            <w:left w:val="none" w:sz="0" w:space="0" w:color="auto"/>
            <w:bottom w:val="none" w:sz="0" w:space="0" w:color="auto"/>
            <w:right w:val="none" w:sz="0" w:space="0" w:color="auto"/>
          </w:divBdr>
        </w:div>
        <w:div w:id="688720734">
          <w:marLeft w:val="0"/>
          <w:marRight w:val="0"/>
          <w:marTop w:val="0"/>
          <w:marBottom w:val="0"/>
          <w:divBdr>
            <w:top w:val="none" w:sz="0" w:space="0" w:color="auto"/>
            <w:left w:val="none" w:sz="0" w:space="0" w:color="auto"/>
            <w:bottom w:val="none" w:sz="0" w:space="0" w:color="auto"/>
            <w:right w:val="none" w:sz="0" w:space="0" w:color="auto"/>
          </w:divBdr>
        </w:div>
        <w:div w:id="1828134175">
          <w:marLeft w:val="0"/>
          <w:marRight w:val="0"/>
          <w:marTop w:val="0"/>
          <w:marBottom w:val="0"/>
          <w:divBdr>
            <w:top w:val="none" w:sz="0" w:space="0" w:color="auto"/>
            <w:left w:val="none" w:sz="0" w:space="0" w:color="auto"/>
            <w:bottom w:val="none" w:sz="0" w:space="0" w:color="auto"/>
            <w:right w:val="none" w:sz="0" w:space="0" w:color="auto"/>
          </w:divBdr>
        </w:div>
      </w:divsChild>
    </w:div>
    <w:div w:id="918488072">
      <w:bodyDiv w:val="1"/>
      <w:marLeft w:val="0"/>
      <w:marRight w:val="0"/>
      <w:marTop w:val="0"/>
      <w:marBottom w:val="0"/>
      <w:divBdr>
        <w:top w:val="none" w:sz="0" w:space="0" w:color="auto"/>
        <w:left w:val="none" w:sz="0" w:space="0" w:color="auto"/>
        <w:bottom w:val="none" w:sz="0" w:space="0" w:color="auto"/>
        <w:right w:val="none" w:sz="0" w:space="0" w:color="auto"/>
      </w:divBdr>
    </w:div>
    <w:div w:id="935407066">
      <w:bodyDiv w:val="1"/>
      <w:marLeft w:val="0"/>
      <w:marRight w:val="0"/>
      <w:marTop w:val="0"/>
      <w:marBottom w:val="0"/>
      <w:divBdr>
        <w:top w:val="none" w:sz="0" w:space="0" w:color="auto"/>
        <w:left w:val="none" w:sz="0" w:space="0" w:color="auto"/>
        <w:bottom w:val="none" w:sz="0" w:space="0" w:color="auto"/>
        <w:right w:val="none" w:sz="0" w:space="0" w:color="auto"/>
      </w:divBdr>
    </w:div>
    <w:div w:id="975257273">
      <w:bodyDiv w:val="1"/>
      <w:marLeft w:val="0"/>
      <w:marRight w:val="0"/>
      <w:marTop w:val="0"/>
      <w:marBottom w:val="0"/>
      <w:divBdr>
        <w:top w:val="none" w:sz="0" w:space="0" w:color="auto"/>
        <w:left w:val="none" w:sz="0" w:space="0" w:color="auto"/>
        <w:bottom w:val="none" w:sz="0" w:space="0" w:color="auto"/>
        <w:right w:val="none" w:sz="0" w:space="0" w:color="auto"/>
      </w:divBdr>
    </w:div>
    <w:div w:id="1071778763">
      <w:bodyDiv w:val="1"/>
      <w:marLeft w:val="0"/>
      <w:marRight w:val="0"/>
      <w:marTop w:val="0"/>
      <w:marBottom w:val="0"/>
      <w:divBdr>
        <w:top w:val="none" w:sz="0" w:space="0" w:color="auto"/>
        <w:left w:val="none" w:sz="0" w:space="0" w:color="auto"/>
        <w:bottom w:val="none" w:sz="0" w:space="0" w:color="auto"/>
        <w:right w:val="none" w:sz="0" w:space="0" w:color="auto"/>
      </w:divBdr>
    </w:div>
    <w:div w:id="1103719247">
      <w:bodyDiv w:val="1"/>
      <w:marLeft w:val="0"/>
      <w:marRight w:val="0"/>
      <w:marTop w:val="0"/>
      <w:marBottom w:val="0"/>
      <w:divBdr>
        <w:top w:val="none" w:sz="0" w:space="0" w:color="auto"/>
        <w:left w:val="none" w:sz="0" w:space="0" w:color="auto"/>
        <w:bottom w:val="none" w:sz="0" w:space="0" w:color="auto"/>
        <w:right w:val="none" w:sz="0" w:space="0" w:color="auto"/>
      </w:divBdr>
    </w:div>
    <w:div w:id="1131283048">
      <w:bodyDiv w:val="1"/>
      <w:marLeft w:val="0"/>
      <w:marRight w:val="0"/>
      <w:marTop w:val="0"/>
      <w:marBottom w:val="0"/>
      <w:divBdr>
        <w:top w:val="none" w:sz="0" w:space="0" w:color="auto"/>
        <w:left w:val="none" w:sz="0" w:space="0" w:color="auto"/>
        <w:bottom w:val="none" w:sz="0" w:space="0" w:color="auto"/>
        <w:right w:val="none" w:sz="0" w:space="0" w:color="auto"/>
      </w:divBdr>
      <w:divsChild>
        <w:div w:id="135996227">
          <w:marLeft w:val="0"/>
          <w:marRight w:val="0"/>
          <w:marTop w:val="0"/>
          <w:marBottom w:val="0"/>
          <w:divBdr>
            <w:top w:val="none" w:sz="0" w:space="0" w:color="auto"/>
            <w:left w:val="none" w:sz="0" w:space="0" w:color="auto"/>
            <w:bottom w:val="none" w:sz="0" w:space="0" w:color="auto"/>
            <w:right w:val="none" w:sz="0" w:space="0" w:color="auto"/>
          </w:divBdr>
        </w:div>
        <w:div w:id="927663043">
          <w:marLeft w:val="0"/>
          <w:marRight w:val="0"/>
          <w:marTop w:val="0"/>
          <w:marBottom w:val="0"/>
          <w:divBdr>
            <w:top w:val="none" w:sz="0" w:space="0" w:color="auto"/>
            <w:left w:val="none" w:sz="0" w:space="0" w:color="auto"/>
            <w:bottom w:val="none" w:sz="0" w:space="0" w:color="auto"/>
            <w:right w:val="none" w:sz="0" w:space="0" w:color="auto"/>
          </w:divBdr>
        </w:div>
        <w:div w:id="1096486856">
          <w:marLeft w:val="0"/>
          <w:marRight w:val="0"/>
          <w:marTop w:val="0"/>
          <w:marBottom w:val="0"/>
          <w:divBdr>
            <w:top w:val="none" w:sz="0" w:space="0" w:color="auto"/>
            <w:left w:val="none" w:sz="0" w:space="0" w:color="auto"/>
            <w:bottom w:val="none" w:sz="0" w:space="0" w:color="auto"/>
            <w:right w:val="none" w:sz="0" w:space="0" w:color="auto"/>
          </w:divBdr>
        </w:div>
        <w:div w:id="1486512697">
          <w:marLeft w:val="0"/>
          <w:marRight w:val="0"/>
          <w:marTop w:val="0"/>
          <w:marBottom w:val="0"/>
          <w:divBdr>
            <w:top w:val="none" w:sz="0" w:space="0" w:color="auto"/>
            <w:left w:val="none" w:sz="0" w:space="0" w:color="auto"/>
            <w:bottom w:val="none" w:sz="0" w:space="0" w:color="auto"/>
            <w:right w:val="none" w:sz="0" w:space="0" w:color="auto"/>
          </w:divBdr>
        </w:div>
      </w:divsChild>
    </w:div>
    <w:div w:id="1169561240">
      <w:bodyDiv w:val="1"/>
      <w:marLeft w:val="0"/>
      <w:marRight w:val="0"/>
      <w:marTop w:val="0"/>
      <w:marBottom w:val="0"/>
      <w:divBdr>
        <w:top w:val="none" w:sz="0" w:space="0" w:color="auto"/>
        <w:left w:val="none" w:sz="0" w:space="0" w:color="auto"/>
        <w:bottom w:val="none" w:sz="0" w:space="0" w:color="auto"/>
        <w:right w:val="none" w:sz="0" w:space="0" w:color="auto"/>
      </w:divBdr>
    </w:div>
    <w:div w:id="1276059257">
      <w:bodyDiv w:val="1"/>
      <w:marLeft w:val="0"/>
      <w:marRight w:val="0"/>
      <w:marTop w:val="0"/>
      <w:marBottom w:val="0"/>
      <w:divBdr>
        <w:top w:val="none" w:sz="0" w:space="0" w:color="auto"/>
        <w:left w:val="none" w:sz="0" w:space="0" w:color="auto"/>
        <w:bottom w:val="none" w:sz="0" w:space="0" w:color="auto"/>
        <w:right w:val="none" w:sz="0" w:space="0" w:color="auto"/>
      </w:divBdr>
    </w:div>
    <w:div w:id="1289122488">
      <w:bodyDiv w:val="1"/>
      <w:marLeft w:val="0"/>
      <w:marRight w:val="0"/>
      <w:marTop w:val="0"/>
      <w:marBottom w:val="0"/>
      <w:divBdr>
        <w:top w:val="none" w:sz="0" w:space="0" w:color="auto"/>
        <w:left w:val="none" w:sz="0" w:space="0" w:color="auto"/>
        <w:bottom w:val="none" w:sz="0" w:space="0" w:color="auto"/>
        <w:right w:val="none" w:sz="0" w:space="0" w:color="auto"/>
      </w:divBdr>
    </w:div>
    <w:div w:id="1303004903">
      <w:bodyDiv w:val="1"/>
      <w:marLeft w:val="0"/>
      <w:marRight w:val="0"/>
      <w:marTop w:val="0"/>
      <w:marBottom w:val="0"/>
      <w:divBdr>
        <w:top w:val="none" w:sz="0" w:space="0" w:color="auto"/>
        <w:left w:val="none" w:sz="0" w:space="0" w:color="auto"/>
        <w:bottom w:val="none" w:sz="0" w:space="0" w:color="auto"/>
        <w:right w:val="none" w:sz="0" w:space="0" w:color="auto"/>
      </w:divBdr>
    </w:div>
    <w:div w:id="1304774191">
      <w:bodyDiv w:val="1"/>
      <w:marLeft w:val="0"/>
      <w:marRight w:val="0"/>
      <w:marTop w:val="0"/>
      <w:marBottom w:val="0"/>
      <w:divBdr>
        <w:top w:val="none" w:sz="0" w:space="0" w:color="auto"/>
        <w:left w:val="none" w:sz="0" w:space="0" w:color="auto"/>
        <w:bottom w:val="none" w:sz="0" w:space="0" w:color="auto"/>
        <w:right w:val="none" w:sz="0" w:space="0" w:color="auto"/>
      </w:divBdr>
    </w:div>
    <w:div w:id="1318267714">
      <w:bodyDiv w:val="1"/>
      <w:marLeft w:val="0"/>
      <w:marRight w:val="0"/>
      <w:marTop w:val="0"/>
      <w:marBottom w:val="0"/>
      <w:divBdr>
        <w:top w:val="none" w:sz="0" w:space="0" w:color="auto"/>
        <w:left w:val="none" w:sz="0" w:space="0" w:color="auto"/>
        <w:bottom w:val="none" w:sz="0" w:space="0" w:color="auto"/>
        <w:right w:val="none" w:sz="0" w:space="0" w:color="auto"/>
      </w:divBdr>
      <w:divsChild>
        <w:div w:id="1385760096">
          <w:marLeft w:val="0"/>
          <w:marRight w:val="0"/>
          <w:marTop w:val="0"/>
          <w:marBottom w:val="0"/>
          <w:divBdr>
            <w:top w:val="none" w:sz="0" w:space="0" w:color="auto"/>
            <w:left w:val="none" w:sz="0" w:space="0" w:color="auto"/>
            <w:bottom w:val="none" w:sz="0" w:space="0" w:color="auto"/>
            <w:right w:val="none" w:sz="0" w:space="0" w:color="auto"/>
          </w:divBdr>
          <w:divsChild>
            <w:div w:id="2056538303">
              <w:marLeft w:val="0"/>
              <w:marRight w:val="0"/>
              <w:marTop w:val="0"/>
              <w:marBottom w:val="0"/>
              <w:divBdr>
                <w:top w:val="none" w:sz="0" w:space="0" w:color="auto"/>
                <w:left w:val="none" w:sz="0" w:space="0" w:color="auto"/>
                <w:bottom w:val="none" w:sz="0" w:space="0" w:color="auto"/>
                <w:right w:val="none" w:sz="0" w:space="0" w:color="auto"/>
              </w:divBdr>
            </w:div>
          </w:divsChild>
        </w:div>
        <w:div w:id="1942755152">
          <w:marLeft w:val="0"/>
          <w:marRight w:val="0"/>
          <w:marTop w:val="0"/>
          <w:marBottom w:val="0"/>
          <w:divBdr>
            <w:top w:val="none" w:sz="0" w:space="0" w:color="auto"/>
            <w:left w:val="none" w:sz="0" w:space="0" w:color="auto"/>
            <w:bottom w:val="none" w:sz="0" w:space="0" w:color="auto"/>
            <w:right w:val="none" w:sz="0" w:space="0" w:color="auto"/>
          </w:divBdr>
          <w:divsChild>
            <w:div w:id="17851502">
              <w:marLeft w:val="0"/>
              <w:marRight w:val="0"/>
              <w:marTop w:val="0"/>
              <w:marBottom w:val="0"/>
              <w:divBdr>
                <w:top w:val="none" w:sz="0" w:space="0" w:color="auto"/>
                <w:left w:val="none" w:sz="0" w:space="0" w:color="auto"/>
                <w:bottom w:val="none" w:sz="0" w:space="0" w:color="auto"/>
                <w:right w:val="none" w:sz="0" w:space="0" w:color="auto"/>
              </w:divBdr>
            </w:div>
            <w:div w:id="369230147">
              <w:marLeft w:val="0"/>
              <w:marRight w:val="0"/>
              <w:marTop w:val="0"/>
              <w:marBottom w:val="0"/>
              <w:divBdr>
                <w:top w:val="none" w:sz="0" w:space="0" w:color="auto"/>
                <w:left w:val="none" w:sz="0" w:space="0" w:color="auto"/>
                <w:bottom w:val="none" w:sz="0" w:space="0" w:color="auto"/>
                <w:right w:val="none" w:sz="0" w:space="0" w:color="auto"/>
              </w:divBdr>
            </w:div>
            <w:div w:id="649477533">
              <w:marLeft w:val="0"/>
              <w:marRight w:val="0"/>
              <w:marTop w:val="0"/>
              <w:marBottom w:val="0"/>
              <w:divBdr>
                <w:top w:val="none" w:sz="0" w:space="0" w:color="auto"/>
                <w:left w:val="none" w:sz="0" w:space="0" w:color="auto"/>
                <w:bottom w:val="none" w:sz="0" w:space="0" w:color="auto"/>
                <w:right w:val="none" w:sz="0" w:space="0" w:color="auto"/>
              </w:divBdr>
            </w:div>
            <w:div w:id="934895892">
              <w:marLeft w:val="0"/>
              <w:marRight w:val="0"/>
              <w:marTop w:val="0"/>
              <w:marBottom w:val="0"/>
              <w:divBdr>
                <w:top w:val="none" w:sz="0" w:space="0" w:color="auto"/>
                <w:left w:val="none" w:sz="0" w:space="0" w:color="auto"/>
                <w:bottom w:val="none" w:sz="0" w:space="0" w:color="auto"/>
                <w:right w:val="none" w:sz="0" w:space="0" w:color="auto"/>
              </w:divBdr>
            </w:div>
            <w:div w:id="1006784380">
              <w:marLeft w:val="0"/>
              <w:marRight w:val="0"/>
              <w:marTop w:val="0"/>
              <w:marBottom w:val="0"/>
              <w:divBdr>
                <w:top w:val="none" w:sz="0" w:space="0" w:color="auto"/>
                <w:left w:val="none" w:sz="0" w:space="0" w:color="auto"/>
                <w:bottom w:val="none" w:sz="0" w:space="0" w:color="auto"/>
                <w:right w:val="none" w:sz="0" w:space="0" w:color="auto"/>
              </w:divBdr>
            </w:div>
            <w:div w:id="1705448861">
              <w:marLeft w:val="0"/>
              <w:marRight w:val="0"/>
              <w:marTop w:val="0"/>
              <w:marBottom w:val="0"/>
              <w:divBdr>
                <w:top w:val="none" w:sz="0" w:space="0" w:color="auto"/>
                <w:left w:val="none" w:sz="0" w:space="0" w:color="auto"/>
                <w:bottom w:val="none" w:sz="0" w:space="0" w:color="auto"/>
                <w:right w:val="none" w:sz="0" w:space="0" w:color="auto"/>
              </w:divBdr>
            </w:div>
            <w:div w:id="2031376743">
              <w:marLeft w:val="0"/>
              <w:marRight w:val="0"/>
              <w:marTop w:val="0"/>
              <w:marBottom w:val="0"/>
              <w:divBdr>
                <w:top w:val="none" w:sz="0" w:space="0" w:color="auto"/>
                <w:left w:val="none" w:sz="0" w:space="0" w:color="auto"/>
                <w:bottom w:val="none" w:sz="0" w:space="0" w:color="auto"/>
                <w:right w:val="none" w:sz="0" w:space="0" w:color="auto"/>
              </w:divBdr>
            </w:div>
            <w:div w:id="2077891726">
              <w:marLeft w:val="0"/>
              <w:marRight w:val="0"/>
              <w:marTop w:val="0"/>
              <w:marBottom w:val="0"/>
              <w:divBdr>
                <w:top w:val="none" w:sz="0" w:space="0" w:color="auto"/>
                <w:left w:val="none" w:sz="0" w:space="0" w:color="auto"/>
                <w:bottom w:val="none" w:sz="0" w:space="0" w:color="auto"/>
                <w:right w:val="none" w:sz="0" w:space="0" w:color="auto"/>
              </w:divBdr>
            </w:div>
            <w:div w:id="2121105245">
              <w:marLeft w:val="0"/>
              <w:marRight w:val="0"/>
              <w:marTop w:val="0"/>
              <w:marBottom w:val="0"/>
              <w:divBdr>
                <w:top w:val="none" w:sz="0" w:space="0" w:color="auto"/>
                <w:left w:val="none" w:sz="0" w:space="0" w:color="auto"/>
                <w:bottom w:val="none" w:sz="0" w:space="0" w:color="auto"/>
                <w:right w:val="none" w:sz="0" w:space="0" w:color="auto"/>
              </w:divBdr>
            </w:div>
            <w:div w:id="212187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10968">
      <w:bodyDiv w:val="1"/>
      <w:marLeft w:val="0"/>
      <w:marRight w:val="0"/>
      <w:marTop w:val="0"/>
      <w:marBottom w:val="0"/>
      <w:divBdr>
        <w:top w:val="none" w:sz="0" w:space="0" w:color="auto"/>
        <w:left w:val="none" w:sz="0" w:space="0" w:color="auto"/>
        <w:bottom w:val="none" w:sz="0" w:space="0" w:color="auto"/>
        <w:right w:val="none" w:sz="0" w:space="0" w:color="auto"/>
      </w:divBdr>
    </w:div>
    <w:div w:id="1351906007">
      <w:bodyDiv w:val="1"/>
      <w:marLeft w:val="0"/>
      <w:marRight w:val="0"/>
      <w:marTop w:val="0"/>
      <w:marBottom w:val="0"/>
      <w:divBdr>
        <w:top w:val="none" w:sz="0" w:space="0" w:color="auto"/>
        <w:left w:val="none" w:sz="0" w:space="0" w:color="auto"/>
        <w:bottom w:val="none" w:sz="0" w:space="0" w:color="auto"/>
        <w:right w:val="none" w:sz="0" w:space="0" w:color="auto"/>
      </w:divBdr>
    </w:div>
    <w:div w:id="1352098865">
      <w:bodyDiv w:val="1"/>
      <w:marLeft w:val="0"/>
      <w:marRight w:val="0"/>
      <w:marTop w:val="0"/>
      <w:marBottom w:val="0"/>
      <w:divBdr>
        <w:top w:val="none" w:sz="0" w:space="0" w:color="auto"/>
        <w:left w:val="none" w:sz="0" w:space="0" w:color="auto"/>
        <w:bottom w:val="none" w:sz="0" w:space="0" w:color="auto"/>
        <w:right w:val="none" w:sz="0" w:space="0" w:color="auto"/>
      </w:divBdr>
    </w:div>
    <w:div w:id="1410351666">
      <w:bodyDiv w:val="1"/>
      <w:marLeft w:val="0"/>
      <w:marRight w:val="0"/>
      <w:marTop w:val="0"/>
      <w:marBottom w:val="0"/>
      <w:divBdr>
        <w:top w:val="none" w:sz="0" w:space="0" w:color="auto"/>
        <w:left w:val="none" w:sz="0" w:space="0" w:color="auto"/>
        <w:bottom w:val="none" w:sz="0" w:space="0" w:color="auto"/>
        <w:right w:val="none" w:sz="0" w:space="0" w:color="auto"/>
      </w:divBdr>
      <w:divsChild>
        <w:div w:id="335041981">
          <w:marLeft w:val="0"/>
          <w:marRight w:val="0"/>
          <w:marTop w:val="0"/>
          <w:marBottom w:val="0"/>
          <w:divBdr>
            <w:top w:val="none" w:sz="0" w:space="0" w:color="auto"/>
            <w:left w:val="none" w:sz="0" w:space="0" w:color="auto"/>
            <w:bottom w:val="none" w:sz="0" w:space="0" w:color="auto"/>
            <w:right w:val="none" w:sz="0" w:space="0" w:color="auto"/>
          </w:divBdr>
        </w:div>
        <w:div w:id="1879662886">
          <w:marLeft w:val="0"/>
          <w:marRight w:val="0"/>
          <w:marTop w:val="0"/>
          <w:marBottom w:val="0"/>
          <w:divBdr>
            <w:top w:val="none" w:sz="0" w:space="0" w:color="auto"/>
            <w:left w:val="none" w:sz="0" w:space="0" w:color="auto"/>
            <w:bottom w:val="none" w:sz="0" w:space="0" w:color="auto"/>
            <w:right w:val="none" w:sz="0" w:space="0" w:color="auto"/>
          </w:divBdr>
        </w:div>
      </w:divsChild>
    </w:div>
    <w:div w:id="1417750111">
      <w:bodyDiv w:val="1"/>
      <w:marLeft w:val="0"/>
      <w:marRight w:val="0"/>
      <w:marTop w:val="0"/>
      <w:marBottom w:val="0"/>
      <w:divBdr>
        <w:top w:val="none" w:sz="0" w:space="0" w:color="auto"/>
        <w:left w:val="none" w:sz="0" w:space="0" w:color="auto"/>
        <w:bottom w:val="none" w:sz="0" w:space="0" w:color="auto"/>
        <w:right w:val="none" w:sz="0" w:space="0" w:color="auto"/>
      </w:divBdr>
    </w:div>
    <w:div w:id="1455441603">
      <w:bodyDiv w:val="1"/>
      <w:marLeft w:val="0"/>
      <w:marRight w:val="0"/>
      <w:marTop w:val="0"/>
      <w:marBottom w:val="0"/>
      <w:divBdr>
        <w:top w:val="none" w:sz="0" w:space="0" w:color="auto"/>
        <w:left w:val="none" w:sz="0" w:space="0" w:color="auto"/>
        <w:bottom w:val="none" w:sz="0" w:space="0" w:color="auto"/>
        <w:right w:val="none" w:sz="0" w:space="0" w:color="auto"/>
      </w:divBdr>
    </w:div>
    <w:div w:id="1564675882">
      <w:bodyDiv w:val="1"/>
      <w:marLeft w:val="0"/>
      <w:marRight w:val="0"/>
      <w:marTop w:val="0"/>
      <w:marBottom w:val="0"/>
      <w:divBdr>
        <w:top w:val="none" w:sz="0" w:space="0" w:color="auto"/>
        <w:left w:val="none" w:sz="0" w:space="0" w:color="auto"/>
        <w:bottom w:val="none" w:sz="0" w:space="0" w:color="auto"/>
        <w:right w:val="none" w:sz="0" w:space="0" w:color="auto"/>
      </w:divBdr>
    </w:div>
    <w:div w:id="1597245268">
      <w:bodyDiv w:val="1"/>
      <w:marLeft w:val="0"/>
      <w:marRight w:val="0"/>
      <w:marTop w:val="0"/>
      <w:marBottom w:val="0"/>
      <w:divBdr>
        <w:top w:val="none" w:sz="0" w:space="0" w:color="auto"/>
        <w:left w:val="none" w:sz="0" w:space="0" w:color="auto"/>
        <w:bottom w:val="none" w:sz="0" w:space="0" w:color="auto"/>
        <w:right w:val="none" w:sz="0" w:space="0" w:color="auto"/>
      </w:divBdr>
      <w:divsChild>
        <w:div w:id="889533696">
          <w:marLeft w:val="0"/>
          <w:marRight w:val="0"/>
          <w:marTop w:val="0"/>
          <w:marBottom w:val="0"/>
          <w:divBdr>
            <w:top w:val="none" w:sz="0" w:space="0" w:color="auto"/>
            <w:left w:val="none" w:sz="0" w:space="0" w:color="auto"/>
            <w:bottom w:val="none" w:sz="0" w:space="0" w:color="auto"/>
            <w:right w:val="none" w:sz="0" w:space="0" w:color="auto"/>
          </w:divBdr>
          <w:divsChild>
            <w:div w:id="1401828537">
              <w:marLeft w:val="-75"/>
              <w:marRight w:val="0"/>
              <w:marTop w:val="30"/>
              <w:marBottom w:val="30"/>
              <w:divBdr>
                <w:top w:val="none" w:sz="0" w:space="0" w:color="auto"/>
                <w:left w:val="none" w:sz="0" w:space="0" w:color="auto"/>
                <w:bottom w:val="none" w:sz="0" w:space="0" w:color="auto"/>
                <w:right w:val="none" w:sz="0" w:space="0" w:color="auto"/>
              </w:divBdr>
              <w:divsChild>
                <w:div w:id="13849477">
                  <w:marLeft w:val="0"/>
                  <w:marRight w:val="0"/>
                  <w:marTop w:val="0"/>
                  <w:marBottom w:val="0"/>
                  <w:divBdr>
                    <w:top w:val="none" w:sz="0" w:space="0" w:color="auto"/>
                    <w:left w:val="none" w:sz="0" w:space="0" w:color="auto"/>
                    <w:bottom w:val="none" w:sz="0" w:space="0" w:color="auto"/>
                    <w:right w:val="none" w:sz="0" w:space="0" w:color="auto"/>
                  </w:divBdr>
                  <w:divsChild>
                    <w:div w:id="948705435">
                      <w:marLeft w:val="0"/>
                      <w:marRight w:val="0"/>
                      <w:marTop w:val="0"/>
                      <w:marBottom w:val="0"/>
                      <w:divBdr>
                        <w:top w:val="none" w:sz="0" w:space="0" w:color="auto"/>
                        <w:left w:val="none" w:sz="0" w:space="0" w:color="auto"/>
                        <w:bottom w:val="none" w:sz="0" w:space="0" w:color="auto"/>
                        <w:right w:val="none" w:sz="0" w:space="0" w:color="auto"/>
                      </w:divBdr>
                    </w:div>
                  </w:divsChild>
                </w:div>
                <w:div w:id="110979314">
                  <w:marLeft w:val="0"/>
                  <w:marRight w:val="0"/>
                  <w:marTop w:val="0"/>
                  <w:marBottom w:val="0"/>
                  <w:divBdr>
                    <w:top w:val="none" w:sz="0" w:space="0" w:color="auto"/>
                    <w:left w:val="none" w:sz="0" w:space="0" w:color="auto"/>
                    <w:bottom w:val="none" w:sz="0" w:space="0" w:color="auto"/>
                    <w:right w:val="none" w:sz="0" w:space="0" w:color="auto"/>
                  </w:divBdr>
                  <w:divsChild>
                    <w:div w:id="2111847648">
                      <w:marLeft w:val="0"/>
                      <w:marRight w:val="0"/>
                      <w:marTop w:val="0"/>
                      <w:marBottom w:val="0"/>
                      <w:divBdr>
                        <w:top w:val="none" w:sz="0" w:space="0" w:color="auto"/>
                        <w:left w:val="none" w:sz="0" w:space="0" w:color="auto"/>
                        <w:bottom w:val="none" w:sz="0" w:space="0" w:color="auto"/>
                        <w:right w:val="none" w:sz="0" w:space="0" w:color="auto"/>
                      </w:divBdr>
                    </w:div>
                  </w:divsChild>
                </w:div>
                <w:div w:id="196549770">
                  <w:marLeft w:val="0"/>
                  <w:marRight w:val="0"/>
                  <w:marTop w:val="0"/>
                  <w:marBottom w:val="0"/>
                  <w:divBdr>
                    <w:top w:val="none" w:sz="0" w:space="0" w:color="auto"/>
                    <w:left w:val="none" w:sz="0" w:space="0" w:color="auto"/>
                    <w:bottom w:val="none" w:sz="0" w:space="0" w:color="auto"/>
                    <w:right w:val="none" w:sz="0" w:space="0" w:color="auto"/>
                  </w:divBdr>
                  <w:divsChild>
                    <w:div w:id="1105155455">
                      <w:marLeft w:val="0"/>
                      <w:marRight w:val="0"/>
                      <w:marTop w:val="0"/>
                      <w:marBottom w:val="0"/>
                      <w:divBdr>
                        <w:top w:val="none" w:sz="0" w:space="0" w:color="auto"/>
                        <w:left w:val="none" w:sz="0" w:space="0" w:color="auto"/>
                        <w:bottom w:val="none" w:sz="0" w:space="0" w:color="auto"/>
                        <w:right w:val="none" w:sz="0" w:space="0" w:color="auto"/>
                      </w:divBdr>
                    </w:div>
                  </w:divsChild>
                </w:div>
                <w:div w:id="336269271">
                  <w:marLeft w:val="0"/>
                  <w:marRight w:val="0"/>
                  <w:marTop w:val="0"/>
                  <w:marBottom w:val="0"/>
                  <w:divBdr>
                    <w:top w:val="none" w:sz="0" w:space="0" w:color="auto"/>
                    <w:left w:val="none" w:sz="0" w:space="0" w:color="auto"/>
                    <w:bottom w:val="none" w:sz="0" w:space="0" w:color="auto"/>
                    <w:right w:val="none" w:sz="0" w:space="0" w:color="auto"/>
                  </w:divBdr>
                  <w:divsChild>
                    <w:div w:id="1946644932">
                      <w:marLeft w:val="0"/>
                      <w:marRight w:val="0"/>
                      <w:marTop w:val="0"/>
                      <w:marBottom w:val="0"/>
                      <w:divBdr>
                        <w:top w:val="none" w:sz="0" w:space="0" w:color="auto"/>
                        <w:left w:val="none" w:sz="0" w:space="0" w:color="auto"/>
                        <w:bottom w:val="none" w:sz="0" w:space="0" w:color="auto"/>
                        <w:right w:val="none" w:sz="0" w:space="0" w:color="auto"/>
                      </w:divBdr>
                    </w:div>
                  </w:divsChild>
                </w:div>
                <w:div w:id="414669672">
                  <w:marLeft w:val="0"/>
                  <w:marRight w:val="0"/>
                  <w:marTop w:val="0"/>
                  <w:marBottom w:val="0"/>
                  <w:divBdr>
                    <w:top w:val="none" w:sz="0" w:space="0" w:color="auto"/>
                    <w:left w:val="none" w:sz="0" w:space="0" w:color="auto"/>
                    <w:bottom w:val="none" w:sz="0" w:space="0" w:color="auto"/>
                    <w:right w:val="none" w:sz="0" w:space="0" w:color="auto"/>
                  </w:divBdr>
                  <w:divsChild>
                    <w:div w:id="1632705709">
                      <w:marLeft w:val="0"/>
                      <w:marRight w:val="0"/>
                      <w:marTop w:val="0"/>
                      <w:marBottom w:val="0"/>
                      <w:divBdr>
                        <w:top w:val="none" w:sz="0" w:space="0" w:color="auto"/>
                        <w:left w:val="none" w:sz="0" w:space="0" w:color="auto"/>
                        <w:bottom w:val="none" w:sz="0" w:space="0" w:color="auto"/>
                        <w:right w:val="none" w:sz="0" w:space="0" w:color="auto"/>
                      </w:divBdr>
                    </w:div>
                  </w:divsChild>
                </w:div>
                <w:div w:id="415982986">
                  <w:marLeft w:val="0"/>
                  <w:marRight w:val="0"/>
                  <w:marTop w:val="0"/>
                  <w:marBottom w:val="0"/>
                  <w:divBdr>
                    <w:top w:val="none" w:sz="0" w:space="0" w:color="auto"/>
                    <w:left w:val="none" w:sz="0" w:space="0" w:color="auto"/>
                    <w:bottom w:val="none" w:sz="0" w:space="0" w:color="auto"/>
                    <w:right w:val="none" w:sz="0" w:space="0" w:color="auto"/>
                  </w:divBdr>
                  <w:divsChild>
                    <w:div w:id="1090928158">
                      <w:marLeft w:val="0"/>
                      <w:marRight w:val="0"/>
                      <w:marTop w:val="0"/>
                      <w:marBottom w:val="0"/>
                      <w:divBdr>
                        <w:top w:val="none" w:sz="0" w:space="0" w:color="auto"/>
                        <w:left w:val="none" w:sz="0" w:space="0" w:color="auto"/>
                        <w:bottom w:val="none" w:sz="0" w:space="0" w:color="auto"/>
                        <w:right w:val="none" w:sz="0" w:space="0" w:color="auto"/>
                      </w:divBdr>
                    </w:div>
                  </w:divsChild>
                </w:div>
                <w:div w:id="540901103">
                  <w:marLeft w:val="0"/>
                  <w:marRight w:val="0"/>
                  <w:marTop w:val="0"/>
                  <w:marBottom w:val="0"/>
                  <w:divBdr>
                    <w:top w:val="none" w:sz="0" w:space="0" w:color="auto"/>
                    <w:left w:val="none" w:sz="0" w:space="0" w:color="auto"/>
                    <w:bottom w:val="none" w:sz="0" w:space="0" w:color="auto"/>
                    <w:right w:val="none" w:sz="0" w:space="0" w:color="auto"/>
                  </w:divBdr>
                  <w:divsChild>
                    <w:div w:id="1849635581">
                      <w:marLeft w:val="0"/>
                      <w:marRight w:val="0"/>
                      <w:marTop w:val="0"/>
                      <w:marBottom w:val="0"/>
                      <w:divBdr>
                        <w:top w:val="none" w:sz="0" w:space="0" w:color="auto"/>
                        <w:left w:val="none" w:sz="0" w:space="0" w:color="auto"/>
                        <w:bottom w:val="none" w:sz="0" w:space="0" w:color="auto"/>
                        <w:right w:val="none" w:sz="0" w:space="0" w:color="auto"/>
                      </w:divBdr>
                    </w:div>
                  </w:divsChild>
                </w:div>
                <w:div w:id="545222914">
                  <w:marLeft w:val="0"/>
                  <w:marRight w:val="0"/>
                  <w:marTop w:val="0"/>
                  <w:marBottom w:val="0"/>
                  <w:divBdr>
                    <w:top w:val="none" w:sz="0" w:space="0" w:color="auto"/>
                    <w:left w:val="none" w:sz="0" w:space="0" w:color="auto"/>
                    <w:bottom w:val="none" w:sz="0" w:space="0" w:color="auto"/>
                    <w:right w:val="none" w:sz="0" w:space="0" w:color="auto"/>
                  </w:divBdr>
                  <w:divsChild>
                    <w:div w:id="1383212813">
                      <w:marLeft w:val="0"/>
                      <w:marRight w:val="0"/>
                      <w:marTop w:val="0"/>
                      <w:marBottom w:val="0"/>
                      <w:divBdr>
                        <w:top w:val="none" w:sz="0" w:space="0" w:color="auto"/>
                        <w:left w:val="none" w:sz="0" w:space="0" w:color="auto"/>
                        <w:bottom w:val="none" w:sz="0" w:space="0" w:color="auto"/>
                        <w:right w:val="none" w:sz="0" w:space="0" w:color="auto"/>
                      </w:divBdr>
                    </w:div>
                  </w:divsChild>
                </w:div>
                <w:div w:id="556355701">
                  <w:marLeft w:val="0"/>
                  <w:marRight w:val="0"/>
                  <w:marTop w:val="0"/>
                  <w:marBottom w:val="0"/>
                  <w:divBdr>
                    <w:top w:val="none" w:sz="0" w:space="0" w:color="auto"/>
                    <w:left w:val="none" w:sz="0" w:space="0" w:color="auto"/>
                    <w:bottom w:val="none" w:sz="0" w:space="0" w:color="auto"/>
                    <w:right w:val="none" w:sz="0" w:space="0" w:color="auto"/>
                  </w:divBdr>
                  <w:divsChild>
                    <w:div w:id="99031539">
                      <w:marLeft w:val="0"/>
                      <w:marRight w:val="0"/>
                      <w:marTop w:val="0"/>
                      <w:marBottom w:val="0"/>
                      <w:divBdr>
                        <w:top w:val="none" w:sz="0" w:space="0" w:color="auto"/>
                        <w:left w:val="none" w:sz="0" w:space="0" w:color="auto"/>
                        <w:bottom w:val="none" w:sz="0" w:space="0" w:color="auto"/>
                        <w:right w:val="none" w:sz="0" w:space="0" w:color="auto"/>
                      </w:divBdr>
                    </w:div>
                  </w:divsChild>
                </w:div>
                <w:div w:id="595939867">
                  <w:marLeft w:val="0"/>
                  <w:marRight w:val="0"/>
                  <w:marTop w:val="0"/>
                  <w:marBottom w:val="0"/>
                  <w:divBdr>
                    <w:top w:val="none" w:sz="0" w:space="0" w:color="auto"/>
                    <w:left w:val="none" w:sz="0" w:space="0" w:color="auto"/>
                    <w:bottom w:val="none" w:sz="0" w:space="0" w:color="auto"/>
                    <w:right w:val="none" w:sz="0" w:space="0" w:color="auto"/>
                  </w:divBdr>
                  <w:divsChild>
                    <w:div w:id="1724064241">
                      <w:marLeft w:val="0"/>
                      <w:marRight w:val="0"/>
                      <w:marTop w:val="0"/>
                      <w:marBottom w:val="0"/>
                      <w:divBdr>
                        <w:top w:val="none" w:sz="0" w:space="0" w:color="auto"/>
                        <w:left w:val="none" w:sz="0" w:space="0" w:color="auto"/>
                        <w:bottom w:val="none" w:sz="0" w:space="0" w:color="auto"/>
                        <w:right w:val="none" w:sz="0" w:space="0" w:color="auto"/>
                      </w:divBdr>
                    </w:div>
                  </w:divsChild>
                </w:div>
                <w:div w:id="745805456">
                  <w:marLeft w:val="0"/>
                  <w:marRight w:val="0"/>
                  <w:marTop w:val="0"/>
                  <w:marBottom w:val="0"/>
                  <w:divBdr>
                    <w:top w:val="none" w:sz="0" w:space="0" w:color="auto"/>
                    <w:left w:val="none" w:sz="0" w:space="0" w:color="auto"/>
                    <w:bottom w:val="none" w:sz="0" w:space="0" w:color="auto"/>
                    <w:right w:val="none" w:sz="0" w:space="0" w:color="auto"/>
                  </w:divBdr>
                  <w:divsChild>
                    <w:div w:id="341322696">
                      <w:marLeft w:val="0"/>
                      <w:marRight w:val="0"/>
                      <w:marTop w:val="0"/>
                      <w:marBottom w:val="0"/>
                      <w:divBdr>
                        <w:top w:val="none" w:sz="0" w:space="0" w:color="auto"/>
                        <w:left w:val="none" w:sz="0" w:space="0" w:color="auto"/>
                        <w:bottom w:val="none" w:sz="0" w:space="0" w:color="auto"/>
                        <w:right w:val="none" w:sz="0" w:space="0" w:color="auto"/>
                      </w:divBdr>
                    </w:div>
                  </w:divsChild>
                </w:div>
                <w:div w:id="832839468">
                  <w:marLeft w:val="0"/>
                  <w:marRight w:val="0"/>
                  <w:marTop w:val="0"/>
                  <w:marBottom w:val="0"/>
                  <w:divBdr>
                    <w:top w:val="none" w:sz="0" w:space="0" w:color="auto"/>
                    <w:left w:val="none" w:sz="0" w:space="0" w:color="auto"/>
                    <w:bottom w:val="none" w:sz="0" w:space="0" w:color="auto"/>
                    <w:right w:val="none" w:sz="0" w:space="0" w:color="auto"/>
                  </w:divBdr>
                  <w:divsChild>
                    <w:div w:id="1975865267">
                      <w:marLeft w:val="0"/>
                      <w:marRight w:val="0"/>
                      <w:marTop w:val="0"/>
                      <w:marBottom w:val="0"/>
                      <w:divBdr>
                        <w:top w:val="none" w:sz="0" w:space="0" w:color="auto"/>
                        <w:left w:val="none" w:sz="0" w:space="0" w:color="auto"/>
                        <w:bottom w:val="none" w:sz="0" w:space="0" w:color="auto"/>
                        <w:right w:val="none" w:sz="0" w:space="0" w:color="auto"/>
                      </w:divBdr>
                    </w:div>
                  </w:divsChild>
                </w:div>
                <w:div w:id="1009719263">
                  <w:marLeft w:val="0"/>
                  <w:marRight w:val="0"/>
                  <w:marTop w:val="0"/>
                  <w:marBottom w:val="0"/>
                  <w:divBdr>
                    <w:top w:val="none" w:sz="0" w:space="0" w:color="auto"/>
                    <w:left w:val="none" w:sz="0" w:space="0" w:color="auto"/>
                    <w:bottom w:val="none" w:sz="0" w:space="0" w:color="auto"/>
                    <w:right w:val="none" w:sz="0" w:space="0" w:color="auto"/>
                  </w:divBdr>
                  <w:divsChild>
                    <w:div w:id="1134055818">
                      <w:marLeft w:val="0"/>
                      <w:marRight w:val="0"/>
                      <w:marTop w:val="0"/>
                      <w:marBottom w:val="0"/>
                      <w:divBdr>
                        <w:top w:val="none" w:sz="0" w:space="0" w:color="auto"/>
                        <w:left w:val="none" w:sz="0" w:space="0" w:color="auto"/>
                        <w:bottom w:val="none" w:sz="0" w:space="0" w:color="auto"/>
                        <w:right w:val="none" w:sz="0" w:space="0" w:color="auto"/>
                      </w:divBdr>
                    </w:div>
                  </w:divsChild>
                </w:div>
                <w:div w:id="1054887340">
                  <w:marLeft w:val="0"/>
                  <w:marRight w:val="0"/>
                  <w:marTop w:val="0"/>
                  <w:marBottom w:val="0"/>
                  <w:divBdr>
                    <w:top w:val="none" w:sz="0" w:space="0" w:color="auto"/>
                    <w:left w:val="none" w:sz="0" w:space="0" w:color="auto"/>
                    <w:bottom w:val="none" w:sz="0" w:space="0" w:color="auto"/>
                    <w:right w:val="none" w:sz="0" w:space="0" w:color="auto"/>
                  </w:divBdr>
                  <w:divsChild>
                    <w:div w:id="655380557">
                      <w:marLeft w:val="0"/>
                      <w:marRight w:val="0"/>
                      <w:marTop w:val="0"/>
                      <w:marBottom w:val="0"/>
                      <w:divBdr>
                        <w:top w:val="none" w:sz="0" w:space="0" w:color="auto"/>
                        <w:left w:val="none" w:sz="0" w:space="0" w:color="auto"/>
                        <w:bottom w:val="none" w:sz="0" w:space="0" w:color="auto"/>
                        <w:right w:val="none" w:sz="0" w:space="0" w:color="auto"/>
                      </w:divBdr>
                    </w:div>
                  </w:divsChild>
                </w:div>
                <w:div w:id="1136263548">
                  <w:marLeft w:val="0"/>
                  <w:marRight w:val="0"/>
                  <w:marTop w:val="0"/>
                  <w:marBottom w:val="0"/>
                  <w:divBdr>
                    <w:top w:val="none" w:sz="0" w:space="0" w:color="auto"/>
                    <w:left w:val="none" w:sz="0" w:space="0" w:color="auto"/>
                    <w:bottom w:val="none" w:sz="0" w:space="0" w:color="auto"/>
                    <w:right w:val="none" w:sz="0" w:space="0" w:color="auto"/>
                  </w:divBdr>
                  <w:divsChild>
                    <w:div w:id="63841664">
                      <w:marLeft w:val="0"/>
                      <w:marRight w:val="0"/>
                      <w:marTop w:val="0"/>
                      <w:marBottom w:val="0"/>
                      <w:divBdr>
                        <w:top w:val="none" w:sz="0" w:space="0" w:color="auto"/>
                        <w:left w:val="none" w:sz="0" w:space="0" w:color="auto"/>
                        <w:bottom w:val="none" w:sz="0" w:space="0" w:color="auto"/>
                        <w:right w:val="none" w:sz="0" w:space="0" w:color="auto"/>
                      </w:divBdr>
                    </w:div>
                  </w:divsChild>
                </w:div>
                <w:div w:id="1139884514">
                  <w:marLeft w:val="0"/>
                  <w:marRight w:val="0"/>
                  <w:marTop w:val="0"/>
                  <w:marBottom w:val="0"/>
                  <w:divBdr>
                    <w:top w:val="none" w:sz="0" w:space="0" w:color="auto"/>
                    <w:left w:val="none" w:sz="0" w:space="0" w:color="auto"/>
                    <w:bottom w:val="none" w:sz="0" w:space="0" w:color="auto"/>
                    <w:right w:val="none" w:sz="0" w:space="0" w:color="auto"/>
                  </w:divBdr>
                  <w:divsChild>
                    <w:div w:id="831796249">
                      <w:marLeft w:val="0"/>
                      <w:marRight w:val="0"/>
                      <w:marTop w:val="0"/>
                      <w:marBottom w:val="0"/>
                      <w:divBdr>
                        <w:top w:val="none" w:sz="0" w:space="0" w:color="auto"/>
                        <w:left w:val="none" w:sz="0" w:space="0" w:color="auto"/>
                        <w:bottom w:val="none" w:sz="0" w:space="0" w:color="auto"/>
                        <w:right w:val="none" w:sz="0" w:space="0" w:color="auto"/>
                      </w:divBdr>
                    </w:div>
                  </w:divsChild>
                </w:div>
                <w:div w:id="1140420391">
                  <w:marLeft w:val="0"/>
                  <w:marRight w:val="0"/>
                  <w:marTop w:val="0"/>
                  <w:marBottom w:val="0"/>
                  <w:divBdr>
                    <w:top w:val="none" w:sz="0" w:space="0" w:color="auto"/>
                    <w:left w:val="none" w:sz="0" w:space="0" w:color="auto"/>
                    <w:bottom w:val="none" w:sz="0" w:space="0" w:color="auto"/>
                    <w:right w:val="none" w:sz="0" w:space="0" w:color="auto"/>
                  </w:divBdr>
                  <w:divsChild>
                    <w:div w:id="996111246">
                      <w:marLeft w:val="0"/>
                      <w:marRight w:val="0"/>
                      <w:marTop w:val="0"/>
                      <w:marBottom w:val="0"/>
                      <w:divBdr>
                        <w:top w:val="none" w:sz="0" w:space="0" w:color="auto"/>
                        <w:left w:val="none" w:sz="0" w:space="0" w:color="auto"/>
                        <w:bottom w:val="none" w:sz="0" w:space="0" w:color="auto"/>
                        <w:right w:val="none" w:sz="0" w:space="0" w:color="auto"/>
                      </w:divBdr>
                    </w:div>
                  </w:divsChild>
                </w:div>
                <w:div w:id="1254123170">
                  <w:marLeft w:val="0"/>
                  <w:marRight w:val="0"/>
                  <w:marTop w:val="0"/>
                  <w:marBottom w:val="0"/>
                  <w:divBdr>
                    <w:top w:val="none" w:sz="0" w:space="0" w:color="auto"/>
                    <w:left w:val="none" w:sz="0" w:space="0" w:color="auto"/>
                    <w:bottom w:val="none" w:sz="0" w:space="0" w:color="auto"/>
                    <w:right w:val="none" w:sz="0" w:space="0" w:color="auto"/>
                  </w:divBdr>
                  <w:divsChild>
                    <w:div w:id="1698504902">
                      <w:marLeft w:val="0"/>
                      <w:marRight w:val="0"/>
                      <w:marTop w:val="0"/>
                      <w:marBottom w:val="0"/>
                      <w:divBdr>
                        <w:top w:val="none" w:sz="0" w:space="0" w:color="auto"/>
                        <w:left w:val="none" w:sz="0" w:space="0" w:color="auto"/>
                        <w:bottom w:val="none" w:sz="0" w:space="0" w:color="auto"/>
                        <w:right w:val="none" w:sz="0" w:space="0" w:color="auto"/>
                      </w:divBdr>
                    </w:div>
                  </w:divsChild>
                </w:div>
                <w:div w:id="1279989293">
                  <w:marLeft w:val="0"/>
                  <w:marRight w:val="0"/>
                  <w:marTop w:val="0"/>
                  <w:marBottom w:val="0"/>
                  <w:divBdr>
                    <w:top w:val="none" w:sz="0" w:space="0" w:color="auto"/>
                    <w:left w:val="none" w:sz="0" w:space="0" w:color="auto"/>
                    <w:bottom w:val="none" w:sz="0" w:space="0" w:color="auto"/>
                    <w:right w:val="none" w:sz="0" w:space="0" w:color="auto"/>
                  </w:divBdr>
                  <w:divsChild>
                    <w:div w:id="760181239">
                      <w:marLeft w:val="0"/>
                      <w:marRight w:val="0"/>
                      <w:marTop w:val="0"/>
                      <w:marBottom w:val="0"/>
                      <w:divBdr>
                        <w:top w:val="none" w:sz="0" w:space="0" w:color="auto"/>
                        <w:left w:val="none" w:sz="0" w:space="0" w:color="auto"/>
                        <w:bottom w:val="none" w:sz="0" w:space="0" w:color="auto"/>
                        <w:right w:val="none" w:sz="0" w:space="0" w:color="auto"/>
                      </w:divBdr>
                    </w:div>
                  </w:divsChild>
                </w:div>
                <w:div w:id="1306734829">
                  <w:marLeft w:val="0"/>
                  <w:marRight w:val="0"/>
                  <w:marTop w:val="0"/>
                  <w:marBottom w:val="0"/>
                  <w:divBdr>
                    <w:top w:val="none" w:sz="0" w:space="0" w:color="auto"/>
                    <w:left w:val="none" w:sz="0" w:space="0" w:color="auto"/>
                    <w:bottom w:val="none" w:sz="0" w:space="0" w:color="auto"/>
                    <w:right w:val="none" w:sz="0" w:space="0" w:color="auto"/>
                  </w:divBdr>
                  <w:divsChild>
                    <w:div w:id="1566867223">
                      <w:marLeft w:val="0"/>
                      <w:marRight w:val="0"/>
                      <w:marTop w:val="0"/>
                      <w:marBottom w:val="0"/>
                      <w:divBdr>
                        <w:top w:val="none" w:sz="0" w:space="0" w:color="auto"/>
                        <w:left w:val="none" w:sz="0" w:space="0" w:color="auto"/>
                        <w:bottom w:val="none" w:sz="0" w:space="0" w:color="auto"/>
                        <w:right w:val="none" w:sz="0" w:space="0" w:color="auto"/>
                      </w:divBdr>
                    </w:div>
                  </w:divsChild>
                </w:div>
                <w:div w:id="1447962673">
                  <w:marLeft w:val="0"/>
                  <w:marRight w:val="0"/>
                  <w:marTop w:val="0"/>
                  <w:marBottom w:val="0"/>
                  <w:divBdr>
                    <w:top w:val="none" w:sz="0" w:space="0" w:color="auto"/>
                    <w:left w:val="none" w:sz="0" w:space="0" w:color="auto"/>
                    <w:bottom w:val="none" w:sz="0" w:space="0" w:color="auto"/>
                    <w:right w:val="none" w:sz="0" w:space="0" w:color="auto"/>
                  </w:divBdr>
                  <w:divsChild>
                    <w:div w:id="1525706602">
                      <w:marLeft w:val="0"/>
                      <w:marRight w:val="0"/>
                      <w:marTop w:val="0"/>
                      <w:marBottom w:val="0"/>
                      <w:divBdr>
                        <w:top w:val="none" w:sz="0" w:space="0" w:color="auto"/>
                        <w:left w:val="none" w:sz="0" w:space="0" w:color="auto"/>
                        <w:bottom w:val="none" w:sz="0" w:space="0" w:color="auto"/>
                        <w:right w:val="none" w:sz="0" w:space="0" w:color="auto"/>
                      </w:divBdr>
                    </w:div>
                  </w:divsChild>
                </w:div>
                <w:div w:id="1487550277">
                  <w:marLeft w:val="0"/>
                  <w:marRight w:val="0"/>
                  <w:marTop w:val="0"/>
                  <w:marBottom w:val="0"/>
                  <w:divBdr>
                    <w:top w:val="none" w:sz="0" w:space="0" w:color="auto"/>
                    <w:left w:val="none" w:sz="0" w:space="0" w:color="auto"/>
                    <w:bottom w:val="none" w:sz="0" w:space="0" w:color="auto"/>
                    <w:right w:val="none" w:sz="0" w:space="0" w:color="auto"/>
                  </w:divBdr>
                  <w:divsChild>
                    <w:div w:id="155461944">
                      <w:marLeft w:val="0"/>
                      <w:marRight w:val="0"/>
                      <w:marTop w:val="0"/>
                      <w:marBottom w:val="0"/>
                      <w:divBdr>
                        <w:top w:val="none" w:sz="0" w:space="0" w:color="auto"/>
                        <w:left w:val="none" w:sz="0" w:space="0" w:color="auto"/>
                        <w:bottom w:val="none" w:sz="0" w:space="0" w:color="auto"/>
                        <w:right w:val="none" w:sz="0" w:space="0" w:color="auto"/>
                      </w:divBdr>
                    </w:div>
                  </w:divsChild>
                </w:div>
                <w:div w:id="1546411356">
                  <w:marLeft w:val="0"/>
                  <w:marRight w:val="0"/>
                  <w:marTop w:val="0"/>
                  <w:marBottom w:val="0"/>
                  <w:divBdr>
                    <w:top w:val="none" w:sz="0" w:space="0" w:color="auto"/>
                    <w:left w:val="none" w:sz="0" w:space="0" w:color="auto"/>
                    <w:bottom w:val="none" w:sz="0" w:space="0" w:color="auto"/>
                    <w:right w:val="none" w:sz="0" w:space="0" w:color="auto"/>
                  </w:divBdr>
                  <w:divsChild>
                    <w:div w:id="727072898">
                      <w:marLeft w:val="0"/>
                      <w:marRight w:val="0"/>
                      <w:marTop w:val="0"/>
                      <w:marBottom w:val="0"/>
                      <w:divBdr>
                        <w:top w:val="none" w:sz="0" w:space="0" w:color="auto"/>
                        <w:left w:val="none" w:sz="0" w:space="0" w:color="auto"/>
                        <w:bottom w:val="none" w:sz="0" w:space="0" w:color="auto"/>
                        <w:right w:val="none" w:sz="0" w:space="0" w:color="auto"/>
                      </w:divBdr>
                    </w:div>
                  </w:divsChild>
                </w:div>
                <w:div w:id="1628201707">
                  <w:marLeft w:val="0"/>
                  <w:marRight w:val="0"/>
                  <w:marTop w:val="0"/>
                  <w:marBottom w:val="0"/>
                  <w:divBdr>
                    <w:top w:val="none" w:sz="0" w:space="0" w:color="auto"/>
                    <w:left w:val="none" w:sz="0" w:space="0" w:color="auto"/>
                    <w:bottom w:val="none" w:sz="0" w:space="0" w:color="auto"/>
                    <w:right w:val="none" w:sz="0" w:space="0" w:color="auto"/>
                  </w:divBdr>
                  <w:divsChild>
                    <w:div w:id="1838688805">
                      <w:marLeft w:val="0"/>
                      <w:marRight w:val="0"/>
                      <w:marTop w:val="0"/>
                      <w:marBottom w:val="0"/>
                      <w:divBdr>
                        <w:top w:val="none" w:sz="0" w:space="0" w:color="auto"/>
                        <w:left w:val="none" w:sz="0" w:space="0" w:color="auto"/>
                        <w:bottom w:val="none" w:sz="0" w:space="0" w:color="auto"/>
                        <w:right w:val="none" w:sz="0" w:space="0" w:color="auto"/>
                      </w:divBdr>
                    </w:div>
                  </w:divsChild>
                </w:div>
                <w:div w:id="1817987825">
                  <w:marLeft w:val="0"/>
                  <w:marRight w:val="0"/>
                  <w:marTop w:val="0"/>
                  <w:marBottom w:val="0"/>
                  <w:divBdr>
                    <w:top w:val="none" w:sz="0" w:space="0" w:color="auto"/>
                    <w:left w:val="none" w:sz="0" w:space="0" w:color="auto"/>
                    <w:bottom w:val="none" w:sz="0" w:space="0" w:color="auto"/>
                    <w:right w:val="none" w:sz="0" w:space="0" w:color="auto"/>
                  </w:divBdr>
                  <w:divsChild>
                    <w:div w:id="764687960">
                      <w:marLeft w:val="0"/>
                      <w:marRight w:val="0"/>
                      <w:marTop w:val="0"/>
                      <w:marBottom w:val="0"/>
                      <w:divBdr>
                        <w:top w:val="none" w:sz="0" w:space="0" w:color="auto"/>
                        <w:left w:val="none" w:sz="0" w:space="0" w:color="auto"/>
                        <w:bottom w:val="none" w:sz="0" w:space="0" w:color="auto"/>
                        <w:right w:val="none" w:sz="0" w:space="0" w:color="auto"/>
                      </w:divBdr>
                    </w:div>
                  </w:divsChild>
                </w:div>
                <w:div w:id="1844122119">
                  <w:marLeft w:val="0"/>
                  <w:marRight w:val="0"/>
                  <w:marTop w:val="0"/>
                  <w:marBottom w:val="0"/>
                  <w:divBdr>
                    <w:top w:val="none" w:sz="0" w:space="0" w:color="auto"/>
                    <w:left w:val="none" w:sz="0" w:space="0" w:color="auto"/>
                    <w:bottom w:val="none" w:sz="0" w:space="0" w:color="auto"/>
                    <w:right w:val="none" w:sz="0" w:space="0" w:color="auto"/>
                  </w:divBdr>
                  <w:divsChild>
                    <w:div w:id="1338574534">
                      <w:marLeft w:val="0"/>
                      <w:marRight w:val="0"/>
                      <w:marTop w:val="0"/>
                      <w:marBottom w:val="0"/>
                      <w:divBdr>
                        <w:top w:val="none" w:sz="0" w:space="0" w:color="auto"/>
                        <w:left w:val="none" w:sz="0" w:space="0" w:color="auto"/>
                        <w:bottom w:val="none" w:sz="0" w:space="0" w:color="auto"/>
                        <w:right w:val="none" w:sz="0" w:space="0" w:color="auto"/>
                      </w:divBdr>
                    </w:div>
                  </w:divsChild>
                </w:div>
                <w:div w:id="1973705433">
                  <w:marLeft w:val="0"/>
                  <w:marRight w:val="0"/>
                  <w:marTop w:val="0"/>
                  <w:marBottom w:val="0"/>
                  <w:divBdr>
                    <w:top w:val="none" w:sz="0" w:space="0" w:color="auto"/>
                    <w:left w:val="none" w:sz="0" w:space="0" w:color="auto"/>
                    <w:bottom w:val="none" w:sz="0" w:space="0" w:color="auto"/>
                    <w:right w:val="none" w:sz="0" w:space="0" w:color="auto"/>
                  </w:divBdr>
                  <w:divsChild>
                    <w:div w:id="672294972">
                      <w:marLeft w:val="0"/>
                      <w:marRight w:val="0"/>
                      <w:marTop w:val="0"/>
                      <w:marBottom w:val="0"/>
                      <w:divBdr>
                        <w:top w:val="none" w:sz="0" w:space="0" w:color="auto"/>
                        <w:left w:val="none" w:sz="0" w:space="0" w:color="auto"/>
                        <w:bottom w:val="none" w:sz="0" w:space="0" w:color="auto"/>
                        <w:right w:val="none" w:sz="0" w:space="0" w:color="auto"/>
                      </w:divBdr>
                    </w:div>
                  </w:divsChild>
                </w:div>
                <w:div w:id="1992172359">
                  <w:marLeft w:val="0"/>
                  <w:marRight w:val="0"/>
                  <w:marTop w:val="0"/>
                  <w:marBottom w:val="0"/>
                  <w:divBdr>
                    <w:top w:val="none" w:sz="0" w:space="0" w:color="auto"/>
                    <w:left w:val="none" w:sz="0" w:space="0" w:color="auto"/>
                    <w:bottom w:val="none" w:sz="0" w:space="0" w:color="auto"/>
                    <w:right w:val="none" w:sz="0" w:space="0" w:color="auto"/>
                  </w:divBdr>
                  <w:divsChild>
                    <w:div w:id="47145190">
                      <w:marLeft w:val="0"/>
                      <w:marRight w:val="0"/>
                      <w:marTop w:val="0"/>
                      <w:marBottom w:val="0"/>
                      <w:divBdr>
                        <w:top w:val="none" w:sz="0" w:space="0" w:color="auto"/>
                        <w:left w:val="none" w:sz="0" w:space="0" w:color="auto"/>
                        <w:bottom w:val="none" w:sz="0" w:space="0" w:color="auto"/>
                        <w:right w:val="none" w:sz="0" w:space="0" w:color="auto"/>
                      </w:divBdr>
                    </w:div>
                  </w:divsChild>
                </w:div>
                <w:div w:id="1998872427">
                  <w:marLeft w:val="0"/>
                  <w:marRight w:val="0"/>
                  <w:marTop w:val="0"/>
                  <w:marBottom w:val="0"/>
                  <w:divBdr>
                    <w:top w:val="none" w:sz="0" w:space="0" w:color="auto"/>
                    <w:left w:val="none" w:sz="0" w:space="0" w:color="auto"/>
                    <w:bottom w:val="none" w:sz="0" w:space="0" w:color="auto"/>
                    <w:right w:val="none" w:sz="0" w:space="0" w:color="auto"/>
                  </w:divBdr>
                  <w:divsChild>
                    <w:div w:id="986976851">
                      <w:marLeft w:val="0"/>
                      <w:marRight w:val="0"/>
                      <w:marTop w:val="0"/>
                      <w:marBottom w:val="0"/>
                      <w:divBdr>
                        <w:top w:val="none" w:sz="0" w:space="0" w:color="auto"/>
                        <w:left w:val="none" w:sz="0" w:space="0" w:color="auto"/>
                        <w:bottom w:val="none" w:sz="0" w:space="0" w:color="auto"/>
                        <w:right w:val="none" w:sz="0" w:space="0" w:color="auto"/>
                      </w:divBdr>
                    </w:div>
                  </w:divsChild>
                </w:div>
                <w:div w:id="2004621373">
                  <w:marLeft w:val="0"/>
                  <w:marRight w:val="0"/>
                  <w:marTop w:val="0"/>
                  <w:marBottom w:val="0"/>
                  <w:divBdr>
                    <w:top w:val="none" w:sz="0" w:space="0" w:color="auto"/>
                    <w:left w:val="none" w:sz="0" w:space="0" w:color="auto"/>
                    <w:bottom w:val="none" w:sz="0" w:space="0" w:color="auto"/>
                    <w:right w:val="none" w:sz="0" w:space="0" w:color="auto"/>
                  </w:divBdr>
                  <w:divsChild>
                    <w:div w:id="1744713938">
                      <w:marLeft w:val="0"/>
                      <w:marRight w:val="0"/>
                      <w:marTop w:val="0"/>
                      <w:marBottom w:val="0"/>
                      <w:divBdr>
                        <w:top w:val="none" w:sz="0" w:space="0" w:color="auto"/>
                        <w:left w:val="none" w:sz="0" w:space="0" w:color="auto"/>
                        <w:bottom w:val="none" w:sz="0" w:space="0" w:color="auto"/>
                        <w:right w:val="none" w:sz="0" w:space="0" w:color="auto"/>
                      </w:divBdr>
                    </w:div>
                  </w:divsChild>
                </w:div>
                <w:div w:id="2029217060">
                  <w:marLeft w:val="0"/>
                  <w:marRight w:val="0"/>
                  <w:marTop w:val="0"/>
                  <w:marBottom w:val="0"/>
                  <w:divBdr>
                    <w:top w:val="none" w:sz="0" w:space="0" w:color="auto"/>
                    <w:left w:val="none" w:sz="0" w:space="0" w:color="auto"/>
                    <w:bottom w:val="none" w:sz="0" w:space="0" w:color="auto"/>
                    <w:right w:val="none" w:sz="0" w:space="0" w:color="auto"/>
                  </w:divBdr>
                  <w:divsChild>
                    <w:div w:id="1410151554">
                      <w:marLeft w:val="0"/>
                      <w:marRight w:val="0"/>
                      <w:marTop w:val="0"/>
                      <w:marBottom w:val="0"/>
                      <w:divBdr>
                        <w:top w:val="none" w:sz="0" w:space="0" w:color="auto"/>
                        <w:left w:val="none" w:sz="0" w:space="0" w:color="auto"/>
                        <w:bottom w:val="none" w:sz="0" w:space="0" w:color="auto"/>
                        <w:right w:val="none" w:sz="0" w:space="0" w:color="auto"/>
                      </w:divBdr>
                    </w:div>
                  </w:divsChild>
                </w:div>
                <w:div w:id="2110657831">
                  <w:marLeft w:val="0"/>
                  <w:marRight w:val="0"/>
                  <w:marTop w:val="0"/>
                  <w:marBottom w:val="0"/>
                  <w:divBdr>
                    <w:top w:val="none" w:sz="0" w:space="0" w:color="auto"/>
                    <w:left w:val="none" w:sz="0" w:space="0" w:color="auto"/>
                    <w:bottom w:val="none" w:sz="0" w:space="0" w:color="auto"/>
                    <w:right w:val="none" w:sz="0" w:space="0" w:color="auto"/>
                  </w:divBdr>
                  <w:divsChild>
                    <w:div w:id="12073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035263">
          <w:marLeft w:val="0"/>
          <w:marRight w:val="0"/>
          <w:marTop w:val="0"/>
          <w:marBottom w:val="0"/>
          <w:divBdr>
            <w:top w:val="none" w:sz="0" w:space="0" w:color="auto"/>
            <w:left w:val="none" w:sz="0" w:space="0" w:color="auto"/>
            <w:bottom w:val="none" w:sz="0" w:space="0" w:color="auto"/>
            <w:right w:val="none" w:sz="0" w:space="0" w:color="auto"/>
          </w:divBdr>
          <w:divsChild>
            <w:div w:id="20965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1827">
      <w:bodyDiv w:val="1"/>
      <w:marLeft w:val="0"/>
      <w:marRight w:val="0"/>
      <w:marTop w:val="0"/>
      <w:marBottom w:val="0"/>
      <w:divBdr>
        <w:top w:val="none" w:sz="0" w:space="0" w:color="auto"/>
        <w:left w:val="none" w:sz="0" w:space="0" w:color="auto"/>
        <w:bottom w:val="none" w:sz="0" w:space="0" w:color="auto"/>
        <w:right w:val="none" w:sz="0" w:space="0" w:color="auto"/>
      </w:divBdr>
    </w:div>
    <w:div w:id="1626766634">
      <w:bodyDiv w:val="1"/>
      <w:marLeft w:val="0"/>
      <w:marRight w:val="0"/>
      <w:marTop w:val="0"/>
      <w:marBottom w:val="0"/>
      <w:divBdr>
        <w:top w:val="none" w:sz="0" w:space="0" w:color="auto"/>
        <w:left w:val="none" w:sz="0" w:space="0" w:color="auto"/>
        <w:bottom w:val="none" w:sz="0" w:space="0" w:color="auto"/>
        <w:right w:val="none" w:sz="0" w:space="0" w:color="auto"/>
      </w:divBdr>
    </w:div>
    <w:div w:id="1668556217">
      <w:bodyDiv w:val="1"/>
      <w:marLeft w:val="0"/>
      <w:marRight w:val="0"/>
      <w:marTop w:val="0"/>
      <w:marBottom w:val="0"/>
      <w:divBdr>
        <w:top w:val="none" w:sz="0" w:space="0" w:color="auto"/>
        <w:left w:val="none" w:sz="0" w:space="0" w:color="auto"/>
        <w:bottom w:val="none" w:sz="0" w:space="0" w:color="auto"/>
        <w:right w:val="none" w:sz="0" w:space="0" w:color="auto"/>
      </w:divBdr>
    </w:div>
    <w:div w:id="1673097575">
      <w:bodyDiv w:val="1"/>
      <w:marLeft w:val="0"/>
      <w:marRight w:val="0"/>
      <w:marTop w:val="0"/>
      <w:marBottom w:val="0"/>
      <w:divBdr>
        <w:top w:val="none" w:sz="0" w:space="0" w:color="auto"/>
        <w:left w:val="none" w:sz="0" w:space="0" w:color="auto"/>
        <w:bottom w:val="none" w:sz="0" w:space="0" w:color="auto"/>
        <w:right w:val="none" w:sz="0" w:space="0" w:color="auto"/>
      </w:divBdr>
    </w:div>
    <w:div w:id="1703706257">
      <w:bodyDiv w:val="1"/>
      <w:marLeft w:val="0"/>
      <w:marRight w:val="0"/>
      <w:marTop w:val="0"/>
      <w:marBottom w:val="0"/>
      <w:divBdr>
        <w:top w:val="none" w:sz="0" w:space="0" w:color="auto"/>
        <w:left w:val="none" w:sz="0" w:space="0" w:color="auto"/>
        <w:bottom w:val="none" w:sz="0" w:space="0" w:color="auto"/>
        <w:right w:val="none" w:sz="0" w:space="0" w:color="auto"/>
      </w:divBdr>
      <w:divsChild>
        <w:div w:id="267272611">
          <w:marLeft w:val="0"/>
          <w:marRight w:val="0"/>
          <w:marTop w:val="0"/>
          <w:marBottom w:val="0"/>
          <w:divBdr>
            <w:top w:val="none" w:sz="0" w:space="0" w:color="auto"/>
            <w:left w:val="none" w:sz="0" w:space="0" w:color="auto"/>
            <w:bottom w:val="none" w:sz="0" w:space="0" w:color="auto"/>
            <w:right w:val="none" w:sz="0" w:space="0" w:color="auto"/>
          </w:divBdr>
        </w:div>
        <w:div w:id="770471220">
          <w:marLeft w:val="0"/>
          <w:marRight w:val="0"/>
          <w:marTop w:val="0"/>
          <w:marBottom w:val="0"/>
          <w:divBdr>
            <w:top w:val="none" w:sz="0" w:space="0" w:color="auto"/>
            <w:left w:val="none" w:sz="0" w:space="0" w:color="auto"/>
            <w:bottom w:val="none" w:sz="0" w:space="0" w:color="auto"/>
            <w:right w:val="none" w:sz="0" w:space="0" w:color="auto"/>
          </w:divBdr>
        </w:div>
      </w:divsChild>
    </w:div>
    <w:div w:id="1715733230">
      <w:bodyDiv w:val="1"/>
      <w:marLeft w:val="0"/>
      <w:marRight w:val="0"/>
      <w:marTop w:val="0"/>
      <w:marBottom w:val="0"/>
      <w:divBdr>
        <w:top w:val="none" w:sz="0" w:space="0" w:color="auto"/>
        <w:left w:val="none" w:sz="0" w:space="0" w:color="auto"/>
        <w:bottom w:val="none" w:sz="0" w:space="0" w:color="auto"/>
        <w:right w:val="none" w:sz="0" w:space="0" w:color="auto"/>
      </w:divBdr>
      <w:divsChild>
        <w:div w:id="985208221">
          <w:marLeft w:val="0"/>
          <w:marRight w:val="0"/>
          <w:marTop w:val="0"/>
          <w:marBottom w:val="0"/>
          <w:divBdr>
            <w:top w:val="none" w:sz="0" w:space="0" w:color="auto"/>
            <w:left w:val="none" w:sz="0" w:space="0" w:color="auto"/>
            <w:bottom w:val="none" w:sz="0" w:space="0" w:color="auto"/>
            <w:right w:val="none" w:sz="0" w:space="0" w:color="auto"/>
          </w:divBdr>
          <w:divsChild>
            <w:div w:id="1214073185">
              <w:marLeft w:val="0"/>
              <w:marRight w:val="0"/>
              <w:marTop w:val="0"/>
              <w:marBottom w:val="0"/>
              <w:divBdr>
                <w:top w:val="none" w:sz="0" w:space="0" w:color="auto"/>
                <w:left w:val="none" w:sz="0" w:space="0" w:color="auto"/>
                <w:bottom w:val="none" w:sz="0" w:space="0" w:color="auto"/>
                <w:right w:val="none" w:sz="0" w:space="0" w:color="auto"/>
              </w:divBdr>
            </w:div>
          </w:divsChild>
        </w:div>
        <w:div w:id="1356887197">
          <w:marLeft w:val="0"/>
          <w:marRight w:val="0"/>
          <w:marTop w:val="0"/>
          <w:marBottom w:val="0"/>
          <w:divBdr>
            <w:top w:val="none" w:sz="0" w:space="0" w:color="auto"/>
            <w:left w:val="none" w:sz="0" w:space="0" w:color="auto"/>
            <w:bottom w:val="none" w:sz="0" w:space="0" w:color="auto"/>
            <w:right w:val="none" w:sz="0" w:space="0" w:color="auto"/>
          </w:divBdr>
          <w:divsChild>
            <w:div w:id="1854103187">
              <w:marLeft w:val="-75"/>
              <w:marRight w:val="0"/>
              <w:marTop w:val="30"/>
              <w:marBottom w:val="30"/>
              <w:divBdr>
                <w:top w:val="none" w:sz="0" w:space="0" w:color="auto"/>
                <w:left w:val="none" w:sz="0" w:space="0" w:color="auto"/>
                <w:bottom w:val="none" w:sz="0" w:space="0" w:color="auto"/>
                <w:right w:val="none" w:sz="0" w:space="0" w:color="auto"/>
              </w:divBdr>
              <w:divsChild>
                <w:div w:id="95832766">
                  <w:marLeft w:val="0"/>
                  <w:marRight w:val="0"/>
                  <w:marTop w:val="0"/>
                  <w:marBottom w:val="0"/>
                  <w:divBdr>
                    <w:top w:val="none" w:sz="0" w:space="0" w:color="auto"/>
                    <w:left w:val="none" w:sz="0" w:space="0" w:color="auto"/>
                    <w:bottom w:val="none" w:sz="0" w:space="0" w:color="auto"/>
                    <w:right w:val="none" w:sz="0" w:space="0" w:color="auto"/>
                  </w:divBdr>
                  <w:divsChild>
                    <w:div w:id="878586830">
                      <w:marLeft w:val="0"/>
                      <w:marRight w:val="0"/>
                      <w:marTop w:val="0"/>
                      <w:marBottom w:val="0"/>
                      <w:divBdr>
                        <w:top w:val="none" w:sz="0" w:space="0" w:color="auto"/>
                        <w:left w:val="none" w:sz="0" w:space="0" w:color="auto"/>
                        <w:bottom w:val="none" w:sz="0" w:space="0" w:color="auto"/>
                        <w:right w:val="none" w:sz="0" w:space="0" w:color="auto"/>
                      </w:divBdr>
                    </w:div>
                  </w:divsChild>
                </w:div>
                <w:div w:id="294214037">
                  <w:marLeft w:val="0"/>
                  <w:marRight w:val="0"/>
                  <w:marTop w:val="0"/>
                  <w:marBottom w:val="0"/>
                  <w:divBdr>
                    <w:top w:val="none" w:sz="0" w:space="0" w:color="auto"/>
                    <w:left w:val="none" w:sz="0" w:space="0" w:color="auto"/>
                    <w:bottom w:val="none" w:sz="0" w:space="0" w:color="auto"/>
                    <w:right w:val="none" w:sz="0" w:space="0" w:color="auto"/>
                  </w:divBdr>
                  <w:divsChild>
                    <w:div w:id="2039045163">
                      <w:marLeft w:val="0"/>
                      <w:marRight w:val="0"/>
                      <w:marTop w:val="0"/>
                      <w:marBottom w:val="0"/>
                      <w:divBdr>
                        <w:top w:val="none" w:sz="0" w:space="0" w:color="auto"/>
                        <w:left w:val="none" w:sz="0" w:space="0" w:color="auto"/>
                        <w:bottom w:val="none" w:sz="0" w:space="0" w:color="auto"/>
                        <w:right w:val="none" w:sz="0" w:space="0" w:color="auto"/>
                      </w:divBdr>
                    </w:div>
                  </w:divsChild>
                </w:div>
                <w:div w:id="364986941">
                  <w:marLeft w:val="0"/>
                  <w:marRight w:val="0"/>
                  <w:marTop w:val="0"/>
                  <w:marBottom w:val="0"/>
                  <w:divBdr>
                    <w:top w:val="none" w:sz="0" w:space="0" w:color="auto"/>
                    <w:left w:val="none" w:sz="0" w:space="0" w:color="auto"/>
                    <w:bottom w:val="none" w:sz="0" w:space="0" w:color="auto"/>
                    <w:right w:val="none" w:sz="0" w:space="0" w:color="auto"/>
                  </w:divBdr>
                  <w:divsChild>
                    <w:div w:id="871259874">
                      <w:marLeft w:val="0"/>
                      <w:marRight w:val="0"/>
                      <w:marTop w:val="0"/>
                      <w:marBottom w:val="0"/>
                      <w:divBdr>
                        <w:top w:val="none" w:sz="0" w:space="0" w:color="auto"/>
                        <w:left w:val="none" w:sz="0" w:space="0" w:color="auto"/>
                        <w:bottom w:val="none" w:sz="0" w:space="0" w:color="auto"/>
                        <w:right w:val="none" w:sz="0" w:space="0" w:color="auto"/>
                      </w:divBdr>
                    </w:div>
                  </w:divsChild>
                </w:div>
                <w:div w:id="625696227">
                  <w:marLeft w:val="0"/>
                  <w:marRight w:val="0"/>
                  <w:marTop w:val="0"/>
                  <w:marBottom w:val="0"/>
                  <w:divBdr>
                    <w:top w:val="none" w:sz="0" w:space="0" w:color="auto"/>
                    <w:left w:val="none" w:sz="0" w:space="0" w:color="auto"/>
                    <w:bottom w:val="none" w:sz="0" w:space="0" w:color="auto"/>
                    <w:right w:val="none" w:sz="0" w:space="0" w:color="auto"/>
                  </w:divBdr>
                  <w:divsChild>
                    <w:div w:id="1928490072">
                      <w:marLeft w:val="0"/>
                      <w:marRight w:val="0"/>
                      <w:marTop w:val="0"/>
                      <w:marBottom w:val="0"/>
                      <w:divBdr>
                        <w:top w:val="none" w:sz="0" w:space="0" w:color="auto"/>
                        <w:left w:val="none" w:sz="0" w:space="0" w:color="auto"/>
                        <w:bottom w:val="none" w:sz="0" w:space="0" w:color="auto"/>
                        <w:right w:val="none" w:sz="0" w:space="0" w:color="auto"/>
                      </w:divBdr>
                    </w:div>
                  </w:divsChild>
                </w:div>
                <w:div w:id="712736209">
                  <w:marLeft w:val="0"/>
                  <w:marRight w:val="0"/>
                  <w:marTop w:val="0"/>
                  <w:marBottom w:val="0"/>
                  <w:divBdr>
                    <w:top w:val="none" w:sz="0" w:space="0" w:color="auto"/>
                    <w:left w:val="none" w:sz="0" w:space="0" w:color="auto"/>
                    <w:bottom w:val="none" w:sz="0" w:space="0" w:color="auto"/>
                    <w:right w:val="none" w:sz="0" w:space="0" w:color="auto"/>
                  </w:divBdr>
                  <w:divsChild>
                    <w:div w:id="306320563">
                      <w:marLeft w:val="0"/>
                      <w:marRight w:val="0"/>
                      <w:marTop w:val="0"/>
                      <w:marBottom w:val="0"/>
                      <w:divBdr>
                        <w:top w:val="none" w:sz="0" w:space="0" w:color="auto"/>
                        <w:left w:val="none" w:sz="0" w:space="0" w:color="auto"/>
                        <w:bottom w:val="none" w:sz="0" w:space="0" w:color="auto"/>
                        <w:right w:val="none" w:sz="0" w:space="0" w:color="auto"/>
                      </w:divBdr>
                    </w:div>
                  </w:divsChild>
                </w:div>
                <w:div w:id="841048487">
                  <w:marLeft w:val="0"/>
                  <w:marRight w:val="0"/>
                  <w:marTop w:val="0"/>
                  <w:marBottom w:val="0"/>
                  <w:divBdr>
                    <w:top w:val="none" w:sz="0" w:space="0" w:color="auto"/>
                    <w:left w:val="none" w:sz="0" w:space="0" w:color="auto"/>
                    <w:bottom w:val="none" w:sz="0" w:space="0" w:color="auto"/>
                    <w:right w:val="none" w:sz="0" w:space="0" w:color="auto"/>
                  </w:divBdr>
                  <w:divsChild>
                    <w:div w:id="102775159">
                      <w:marLeft w:val="0"/>
                      <w:marRight w:val="0"/>
                      <w:marTop w:val="0"/>
                      <w:marBottom w:val="0"/>
                      <w:divBdr>
                        <w:top w:val="none" w:sz="0" w:space="0" w:color="auto"/>
                        <w:left w:val="none" w:sz="0" w:space="0" w:color="auto"/>
                        <w:bottom w:val="none" w:sz="0" w:space="0" w:color="auto"/>
                        <w:right w:val="none" w:sz="0" w:space="0" w:color="auto"/>
                      </w:divBdr>
                    </w:div>
                  </w:divsChild>
                </w:div>
                <w:div w:id="875309926">
                  <w:marLeft w:val="0"/>
                  <w:marRight w:val="0"/>
                  <w:marTop w:val="0"/>
                  <w:marBottom w:val="0"/>
                  <w:divBdr>
                    <w:top w:val="none" w:sz="0" w:space="0" w:color="auto"/>
                    <w:left w:val="none" w:sz="0" w:space="0" w:color="auto"/>
                    <w:bottom w:val="none" w:sz="0" w:space="0" w:color="auto"/>
                    <w:right w:val="none" w:sz="0" w:space="0" w:color="auto"/>
                  </w:divBdr>
                  <w:divsChild>
                    <w:div w:id="183058975">
                      <w:marLeft w:val="0"/>
                      <w:marRight w:val="0"/>
                      <w:marTop w:val="0"/>
                      <w:marBottom w:val="0"/>
                      <w:divBdr>
                        <w:top w:val="none" w:sz="0" w:space="0" w:color="auto"/>
                        <w:left w:val="none" w:sz="0" w:space="0" w:color="auto"/>
                        <w:bottom w:val="none" w:sz="0" w:space="0" w:color="auto"/>
                        <w:right w:val="none" w:sz="0" w:space="0" w:color="auto"/>
                      </w:divBdr>
                    </w:div>
                  </w:divsChild>
                </w:div>
                <w:div w:id="901645472">
                  <w:marLeft w:val="0"/>
                  <w:marRight w:val="0"/>
                  <w:marTop w:val="0"/>
                  <w:marBottom w:val="0"/>
                  <w:divBdr>
                    <w:top w:val="none" w:sz="0" w:space="0" w:color="auto"/>
                    <w:left w:val="none" w:sz="0" w:space="0" w:color="auto"/>
                    <w:bottom w:val="none" w:sz="0" w:space="0" w:color="auto"/>
                    <w:right w:val="none" w:sz="0" w:space="0" w:color="auto"/>
                  </w:divBdr>
                  <w:divsChild>
                    <w:div w:id="517502055">
                      <w:marLeft w:val="0"/>
                      <w:marRight w:val="0"/>
                      <w:marTop w:val="0"/>
                      <w:marBottom w:val="0"/>
                      <w:divBdr>
                        <w:top w:val="none" w:sz="0" w:space="0" w:color="auto"/>
                        <w:left w:val="none" w:sz="0" w:space="0" w:color="auto"/>
                        <w:bottom w:val="none" w:sz="0" w:space="0" w:color="auto"/>
                        <w:right w:val="none" w:sz="0" w:space="0" w:color="auto"/>
                      </w:divBdr>
                    </w:div>
                  </w:divsChild>
                </w:div>
                <w:div w:id="936250329">
                  <w:marLeft w:val="0"/>
                  <w:marRight w:val="0"/>
                  <w:marTop w:val="0"/>
                  <w:marBottom w:val="0"/>
                  <w:divBdr>
                    <w:top w:val="none" w:sz="0" w:space="0" w:color="auto"/>
                    <w:left w:val="none" w:sz="0" w:space="0" w:color="auto"/>
                    <w:bottom w:val="none" w:sz="0" w:space="0" w:color="auto"/>
                    <w:right w:val="none" w:sz="0" w:space="0" w:color="auto"/>
                  </w:divBdr>
                  <w:divsChild>
                    <w:div w:id="908659711">
                      <w:marLeft w:val="0"/>
                      <w:marRight w:val="0"/>
                      <w:marTop w:val="0"/>
                      <w:marBottom w:val="0"/>
                      <w:divBdr>
                        <w:top w:val="none" w:sz="0" w:space="0" w:color="auto"/>
                        <w:left w:val="none" w:sz="0" w:space="0" w:color="auto"/>
                        <w:bottom w:val="none" w:sz="0" w:space="0" w:color="auto"/>
                        <w:right w:val="none" w:sz="0" w:space="0" w:color="auto"/>
                      </w:divBdr>
                    </w:div>
                  </w:divsChild>
                </w:div>
                <w:div w:id="961958972">
                  <w:marLeft w:val="0"/>
                  <w:marRight w:val="0"/>
                  <w:marTop w:val="0"/>
                  <w:marBottom w:val="0"/>
                  <w:divBdr>
                    <w:top w:val="none" w:sz="0" w:space="0" w:color="auto"/>
                    <w:left w:val="none" w:sz="0" w:space="0" w:color="auto"/>
                    <w:bottom w:val="none" w:sz="0" w:space="0" w:color="auto"/>
                    <w:right w:val="none" w:sz="0" w:space="0" w:color="auto"/>
                  </w:divBdr>
                  <w:divsChild>
                    <w:div w:id="1714619050">
                      <w:marLeft w:val="0"/>
                      <w:marRight w:val="0"/>
                      <w:marTop w:val="0"/>
                      <w:marBottom w:val="0"/>
                      <w:divBdr>
                        <w:top w:val="none" w:sz="0" w:space="0" w:color="auto"/>
                        <w:left w:val="none" w:sz="0" w:space="0" w:color="auto"/>
                        <w:bottom w:val="none" w:sz="0" w:space="0" w:color="auto"/>
                        <w:right w:val="none" w:sz="0" w:space="0" w:color="auto"/>
                      </w:divBdr>
                    </w:div>
                  </w:divsChild>
                </w:div>
                <w:div w:id="1015882035">
                  <w:marLeft w:val="0"/>
                  <w:marRight w:val="0"/>
                  <w:marTop w:val="0"/>
                  <w:marBottom w:val="0"/>
                  <w:divBdr>
                    <w:top w:val="none" w:sz="0" w:space="0" w:color="auto"/>
                    <w:left w:val="none" w:sz="0" w:space="0" w:color="auto"/>
                    <w:bottom w:val="none" w:sz="0" w:space="0" w:color="auto"/>
                    <w:right w:val="none" w:sz="0" w:space="0" w:color="auto"/>
                  </w:divBdr>
                  <w:divsChild>
                    <w:div w:id="441606012">
                      <w:marLeft w:val="0"/>
                      <w:marRight w:val="0"/>
                      <w:marTop w:val="0"/>
                      <w:marBottom w:val="0"/>
                      <w:divBdr>
                        <w:top w:val="none" w:sz="0" w:space="0" w:color="auto"/>
                        <w:left w:val="none" w:sz="0" w:space="0" w:color="auto"/>
                        <w:bottom w:val="none" w:sz="0" w:space="0" w:color="auto"/>
                        <w:right w:val="none" w:sz="0" w:space="0" w:color="auto"/>
                      </w:divBdr>
                    </w:div>
                  </w:divsChild>
                </w:div>
                <w:div w:id="1117027602">
                  <w:marLeft w:val="0"/>
                  <w:marRight w:val="0"/>
                  <w:marTop w:val="0"/>
                  <w:marBottom w:val="0"/>
                  <w:divBdr>
                    <w:top w:val="none" w:sz="0" w:space="0" w:color="auto"/>
                    <w:left w:val="none" w:sz="0" w:space="0" w:color="auto"/>
                    <w:bottom w:val="none" w:sz="0" w:space="0" w:color="auto"/>
                    <w:right w:val="none" w:sz="0" w:space="0" w:color="auto"/>
                  </w:divBdr>
                  <w:divsChild>
                    <w:div w:id="1281254525">
                      <w:marLeft w:val="0"/>
                      <w:marRight w:val="0"/>
                      <w:marTop w:val="0"/>
                      <w:marBottom w:val="0"/>
                      <w:divBdr>
                        <w:top w:val="none" w:sz="0" w:space="0" w:color="auto"/>
                        <w:left w:val="none" w:sz="0" w:space="0" w:color="auto"/>
                        <w:bottom w:val="none" w:sz="0" w:space="0" w:color="auto"/>
                        <w:right w:val="none" w:sz="0" w:space="0" w:color="auto"/>
                      </w:divBdr>
                    </w:div>
                  </w:divsChild>
                </w:div>
                <w:div w:id="1168790004">
                  <w:marLeft w:val="0"/>
                  <w:marRight w:val="0"/>
                  <w:marTop w:val="0"/>
                  <w:marBottom w:val="0"/>
                  <w:divBdr>
                    <w:top w:val="none" w:sz="0" w:space="0" w:color="auto"/>
                    <w:left w:val="none" w:sz="0" w:space="0" w:color="auto"/>
                    <w:bottom w:val="none" w:sz="0" w:space="0" w:color="auto"/>
                    <w:right w:val="none" w:sz="0" w:space="0" w:color="auto"/>
                  </w:divBdr>
                  <w:divsChild>
                    <w:div w:id="1408576914">
                      <w:marLeft w:val="0"/>
                      <w:marRight w:val="0"/>
                      <w:marTop w:val="0"/>
                      <w:marBottom w:val="0"/>
                      <w:divBdr>
                        <w:top w:val="none" w:sz="0" w:space="0" w:color="auto"/>
                        <w:left w:val="none" w:sz="0" w:space="0" w:color="auto"/>
                        <w:bottom w:val="none" w:sz="0" w:space="0" w:color="auto"/>
                        <w:right w:val="none" w:sz="0" w:space="0" w:color="auto"/>
                      </w:divBdr>
                    </w:div>
                  </w:divsChild>
                </w:div>
                <w:div w:id="1187988270">
                  <w:marLeft w:val="0"/>
                  <w:marRight w:val="0"/>
                  <w:marTop w:val="0"/>
                  <w:marBottom w:val="0"/>
                  <w:divBdr>
                    <w:top w:val="none" w:sz="0" w:space="0" w:color="auto"/>
                    <w:left w:val="none" w:sz="0" w:space="0" w:color="auto"/>
                    <w:bottom w:val="none" w:sz="0" w:space="0" w:color="auto"/>
                    <w:right w:val="none" w:sz="0" w:space="0" w:color="auto"/>
                  </w:divBdr>
                  <w:divsChild>
                    <w:div w:id="71319295">
                      <w:marLeft w:val="0"/>
                      <w:marRight w:val="0"/>
                      <w:marTop w:val="0"/>
                      <w:marBottom w:val="0"/>
                      <w:divBdr>
                        <w:top w:val="none" w:sz="0" w:space="0" w:color="auto"/>
                        <w:left w:val="none" w:sz="0" w:space="0" w:color="auto"/>
                        <w:bottom w:val="none" w:sz="0" w:space="0" w:color="auto"/>
                        <w:right w:val="none" w:sz="0" w:space="0" w:color="auto"/>
                      </w:divBdr>
                    </w:div>
                  </w:divsChild>
                </w:div>
                <w:div w:id="1319990691">
                  <w:marLeft w:val="0"/>
                  <w:marRight w:val="0"/>
                  <w:marTop w:val="0"/>
                  <w:marBottom w:val="0"/>
                  <w:divBdr>
                    <w:top w:val="none" w:sz="0" w:space="0" w:color="auto"/>
                    <w:left w:val="none" w:sz="0" w:space="0" w:color="auto"/>
                    <w:bottom w:val="none" w:sz="0" w:space="0" w:color="auto"/>
                    <w:right w:val="none" w:sz="0" w:space="0" w:color="auto"/>
                  </w:divBdr>
                  <w:divsChild>
                    <w:div w:id="1042554444">
                      <w:marLeft w:val="0"/>
                      <w:marRight w:val="0"/>
                      <w:marTop w:val="0"/>
                      <w:marBottom w:val="0"/>
                      <w:divBdr>
                        <w:top w:val="none" w:sz="0" w:space="0" w:color="auto"/>
                        <w:left w:val="none" w:sz="0" w:space="0" w:color="auto"/>
                        <w:bottom w:val="none" w:sz="0" w:space="0" w:color="auto"/>
                        <w:right w:val="none" w:sz="0" w:space="0" w:color="auto"/>
                      </w:divBdr>
                    </w:div>
                  </w:divsChild>
                </w:div>
                <w:div w:id="1350714553">
                  <w:marLeft w:val="0"/>
                  <w:marRight w:val="0"/>
                  <w:marTop w:val="0"/>
                  <w:marBottom w:val="0"/>
                  <w:divBdr>
                    <w:top w:val="none" w:sz="0" w:space="0" w:color="auto"/>
                    <w:left w:val="none" w:sz="0" w:space="0" w:color="auto"/>
                    <w:bottom w:val="none" w:sz="0" w:space="0" w:color="auto"/>
                    <w:right w:val="none" w:sz="0" w:space="0" w:color="auto"/>
                  </w:divBdr>
                  <w:divsChild>
                    <w:div w:id="684093056">
                      <w:marLeft w:val="0"/>
                      <w:marRight w:val="0"/>
                      <w:marTop w:val="0"/>
                      <w:marBottom w:val="0"/>
                      <w:divBdr>
                        <w:top w:val="none" w:sz="0" w:space="0" w:color="auto"/>
                        <w:left w:val="none" w:sz="0" w:space="0" w:color="auto"/>
                        <w:bottom w:val="none" w:sz="0" w:space="0" w:color="auto"/>
                        <w:right w:val="none" w:sz="0" w:space="0" w:color="auto"/>
                      </w:divBdr>
                    </w:div>
                  </w:divsChild>
                </w:div>
                <w:div w:id="1352023558">
                  <w:marLeft w:val="0"/>
                  <w:marRight w:val="0"/>
                  <w:marTop w:val="0"/>
                  <w:marBottom w:val="0"/>
                  <w:divBdr>
                    <w:top w:val="none" w:sz="0" w:space="0" w:color="auto"/>
                    <w:left w:val="none" w:sz="0" w:space="0" w:color="auto"/>
                    <w:bottom w:val="none" w:sz="0" w:space="0" w:color="auto"/>
                    <w:right w:val="none" w:sz="0" w:space="0" w:color="auto"/>
                  </w:divBdr>
                  <w:divsChild>
                    <w:div w:id="346375432">
                      <w:marLeft w:val="0"/>
                      <w:marRight w:val="0"/>
                      <w:marTop w:val="0"/>
                      <w:marBottom w:val="0"/>
                      <w:divBdr>
                        <w:top w:val="none" w:sz="0" w:space="0" w:color="auto"/>
                        <w:left w:val="none" w:sz="0" w:space="0" w:color="auto"/>
                        <w:bottom w:val="none" w:sz="0" w:space="0" w:color="auto"/>
                        <w:right w:val="none" w:sz="0" w:space="0" w:color="auto"/>
                      </w:divBdr>
                    </w:div>
                  </w:divsChild>
                </w:div>
                <w:div w:id="1435663407">
                  <w:marLeft w:val="0"/>
                  <w:marRight w:val="0"/>
                  <w:marTop w:val="0"/>
                  <w:marBottom w:val="0"/>
                  <w:divBdr>
                    <w:top w:val="none" w:sz="0" w:space="0" w:color="auto"/>
                    <w:left w:val="none" w:sz="0" w:space="0" w:color="auto"/>
                    <w:bottom w:val="none" w:sz="0" w:space="0" w:color="auto"/>
                    <w:right w:val="none" w:sz="0" w:space="0" w:color="auto"/>
                  </w:divBdr>
                  <w:divsChild>
                    <w:div w:id="1218905007">
                      <w:marLeft w:val="0"/>
                      <w:marRight w:val="0"/>
                      <w:marTop w:val="0"/>
                      <w:marBottom w:val="0"/>
                      <w:divBdr>
                        <w:top w:val="none" w:sz="0" w:space="0" w:color="auto"/>
                        <w:left w:val="none" w:sz="0" w:space="0" w:color="auto"/>
                        <w:bottom w:val="none" w:sz="0" w:space="0" w:color="auto"/>
                        <w:right w:val="none" w:sz="0" w:space="0" w:color="auto"/>
                      </w:divBdr>
                    </w:div>
                  </w:divsChild>
                </w:div>
                <w:div w:id="1560019545">
                  <w:marLeft w:val="0"/>
                  <w:marRight w:val="0"/>
                  <w:marTop w:val="0"/>
                  <w:marBottom w:val="0"/>
                  <w:divBdr>
                    <w:top w:val="none" w:sz="0" w:space="0" w:color="auto"/>
                    <w:left w:val="none" w:sz="0" w:space="0" w:color="auto"/>
                    <w:bottom w:val="none" w:sz="0" w:space="0" w:color="auto"/>
                    <w:right w:val="none" w:sz="0" w:space="0" w:color="auto"/>
                  </w:divBdr>
                  <w:divsChild>
                    <w:div w:id="837230536">
                      <w:marLeft w:val="0"/>
                      <w:marRight w:val="0"/>
                      <w:marTop w:val="0"/>
                      <w:marBottom w:val="0"/>
                      <w:divBdr>
                        <w:top w:val="none" w:sz="0" w:space="0" w:color="auto"/>
                        <w:left w:val="none" w:sz="0" w:space="0" w:color="auto"/>
                        <w:bottom w:val="none" w:sz="0" w:space="0" w:color="auto"/>
                        <w:right w:val="none" w:sz="0" w:space="0" w:color="auto"/>
                      </w:divBdr>
                    </w:div>
                  </w:divsChild>
                </w:div>
                <w:div w:id="1600025109">
                  <w:marLeft w:val="0"/>
                  <w:marRight w:val="0"/>
                  <w:marTop w:val="0"/>
                  <w:marBottom w:val="0"/>
                  <w:divBdr>
                    <w:top w:val="none" w:sz="0" w:space="0" w:color="auto"/>
                    <w:left w:val="none" w:sz="0" w:space="0" w:color="auto"/>
                    <w:bottom w:val="none" w:sz="0" w:space="0" w:color="auto"/>
                    <w:right w:val="none" w:sz="0" w:space="0" w:color="auto"/>
                  </w:divBdr>
                  <w:divsChild>
                    <w:div w:id="329329623">
                      <w:marLeft w:val="0"/>
                      <w:marRight w:val="0"/>
                      <w:marTop w:val="0"/>
                      <w:marBottom w:val="0"/>
                      <w:divBdr>
                        <w:top w:val="none" w:sz="0" w:space="0" w:color="auto"/>
                        <w:left w:val="none" w:sz="0" w:space="0" w:color="auto"/>
                        <w:bottom w:val="none" w:sz="0" w:space="0" w:color="auto"/>
                        <w:right w:val="none" w:sz="0" w:space="0" w:color="auto"/>
                      </w:divBdr>
                    </w:div>
                  </w:divsChild>
                </w:div>
                <w:div w:id="1660884203">
                  <w:marLeft w:val="0"/>
                  <w:marRight w:val="0"/>
                  <w:marTop w:val="0"/>
                  <w:marBottom w:val="0"/>
                  <w:divBdr>
                    <w:top w:val="none" w:sz="0" w:space="0" w:color="auto"/>
                    <w:left w:val="none" w:sz="0" w:space="0" w:color="auto"/>
                    <w:bottom w:val="none" w:sz="0" w:space="0" w:color="auto"/>
                    <w:right w:val="none" w:sz="0" w:space="0" w:color="auto"/>
                  </w:divBdr>
                  <w:divsChild>
                    <w:div w:id="1603294847">
                      <w:marLeft w:val="0"/>
                      <w:marRight w:val="0"/>
                      <w:marTop w:val="0"/>
                      <w:marBottom w:val="0"/>
                      <w:divBdr>
                        <w:top w:val="none" w:sz="0" w:space="0" w:color="auto"/>
                        <w:left w:val="none" w:sz="0" w:space="0" w:color="auto"/>
                        <w:bottom w:val="none" w:sz="0" w:space="0" w:color="auto"/>
                        <w:right w:val="none" w:sz="0" w:space="0" w:color="auto"/>
                      </w:divBdr>
                    </w:div>
                  </w:divsChild>
                </w:div>
                <w:div w:id="1693384767">
                  <w:marLeft w:val="0"/>
                  <w:marRight w:val="0"/>
                  <w:marTop w:val="0"/>
                  <w:marBottom w:val="0"/>
                  <w:divBdr>
                    <w:top w:val="none" w:sz="0" w:space="0" w:color="auto"/>
                    <w:left w:val="none" w:sz="0" w:space="0" w:color="auto"/>
                    <w:bottom w:val="none" w:sz="0" w:space="0" w:color="auto"/>
                    <w:right w:val="none" w:sz="0" w:space="0" w:color="auto"/>
                  </w:divBdr>
                  <w:divsChild>
                    <w:div w:id="1552116262">
                      <w:marLeft w:val="0"/>
                      <w:marRight w:val="0"/>
                      <w:marTop w:val="0"/>
                      <w:marBottom w:val="0"/>
                      <w:divBdr>
                        <w:top w:val="none" w:sz="0" w:space="0" w:color="auto"/>
                        <w:left w:val="none" w:sz="0" w:space="0" w:color="auto"/>
                        <w:bottom w:val="none" w:sz="0" w:space="0" w:color="auto"/>
                        <w:right w:val="none" w:sz="0" w:space="0" w:color="auto"/>
                      </w:divBdr>
                    </w:div>
                  </w:divsChild>
                </w:div>
                <w:div w:id="1778669794">
                  <w:marLeft w:val="0"/>
                  <w:marRight w:val="0"/>
                  <w:marTop w:val="0"/>
                  <w:marBottom w:val="0"/>
                  <w:divBdr>
                    <w:top w:val="none" w:sz="0" w:space="0" w:color="auto"/>
                    <w:left w:val="none" w:sz="0" w:space="0" w:color="auto"/>
                    <w:bottom w:val="none" w:sz="0" w:space="0" w:color="auto"/>
                    <w:right w:val="none" w:sz="0" w:space="0" w:color="auto"/>
                  </w:divBdr>
                  <w:divsChild>
                    <w:div w:id="466628978">
                      <w:marLeft w:val="0"/>
                      <w:marRight w:val="0"/>
                      <w:marTop w:val="0"/>
                      <w:marBottom w:val="0"/>
                      <w:divBdr>
                        <w:top w:val="none" w:sz="0" w:space="0" w:color="auto"/>
                        <w:left w:val="none" w:sz="0" w:space="0" w:color="auto"/>
                        <w:bottom w:val="none" w:sz="0" w:space="0" w:color="auto"/>
                        <w:right w:val="none" w:sz="0" w:space="0" w:color="auto"/>
                      </w:divBdr>
                    </w:div>
                  </w:divsChild>
                </w:div>
                <w:div w:id="2045328020">
                  <w:marLeft w:val="0"/>
                  <w:marRight w:val="0"/>
                  <w:marTop w:val="0"/>
                  <w:marBottom w:val="0"/>
                  <w:divBdr>
                    <w:top w:val="none" w:sz="0" w:space="0" w:color="auto"/>
                    <w:left w:val="none" w:sz="0" w:space="0" w:color="auto"/>
                    <w:bottom w:val="none" w:sz="0" w:space="0" w:color="auto"/>
                    <w:right w:val="none" w:sz="0" w:space="0" w:color="auto"/>
                  </w:divBdr>
                  <w:divsChild>
                    <w:div w:id="87785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094982">
      <w:bodyDiv w:val="1"/>
      <w:marLeft w:val="0"/>
      <w:marRight w:val="0"/>
      <w:marTop w:val="0"/>
      <w:marBottom w:val="0"/>
      <w:divBdr>
        <w:top w:val="none" w:sz="0" w:space="0" w:color="auto"/>
        <w:left w:val="none" w:sz="0" w:space="0" w:color="auto"/>
        <w:bottom w:val="none" w:sz="0" w:space="0" w:color="auto"/>
        <w:right w:val="none" w:sz="0" w:space="0" w:color="auto"/>
      </w:divBdr>
    </w:div>
    <w:div w:id="1759671754">
      <w:bodyDiv w:val="1"/>
      <w:marLeft w:val="0"/>
      <w:marRight w:val="0"/>
      <w:marTop w:val="0"/>
      <w:marBottom w:val="0"/>
      <w:divBdr>
        <w:top w:val="none" w:sz="0" w:space="0" w:color="auto"/>
        <w:left w:val="none" w:sz="0" w:space="0" w:color="auto"/>
        <w:bottom w:val="none" w:sz="0" w:space="0" w:color="auto"/>
        <w:right w:val="none" w:sz="0" w:space="0" w:color="auto"/>
      </w:divBdr>
    </w:div>
    <w:div w:id="1785727202">
      <w:bodyDiv w:val="1"/>
      <w:marLeft w:val="0"/>
      <w:marRight w:val="0"/>
      <w:marTop w:val="0"/>
      <w:marBottom w:val="0"/>
      <w:divBdr>
        <w:top w:val="none" w:sz="0" w:space="0" w:color="auto"/>
        <w:left w:val="none" w:sz="0" w:space="0" w:color="auto"/>
        <w:bottom w:val="none" w:sz="0" w:space="0" w:color="auto"/>
        <w:right w:val="none" w:sz="0" w:space="0" w:color="auto"/>
      </w:divBdr>
    </w:div>
    <w:div w:id="1786189116">
      <w:bodyDiv w:val="1"/>
      <w:marLeft w:val="0"/>
      <w:marRight w:val="0"/>
      <w:marTop w:val="0"/>
      <w:marBottom w:val="0"/>
      <w:divBdr>
        <w:top w:val="none" w:sz="0" w:space="0" w:color="auto"/>
        <w:left w:val="none" w:sz="0" w:space="0" w:color="auto"/>
        <w:bottom w:val="none" w:sz="0" w:space="0" w:color="auto"/>
        <w:right w:val="none" w:sz="0" w:space="0" w:color="auto"/>
      </w:divBdr>
    </w:div>
    <w:div w:id="1799687516">
      <w:bodyDiv w:val="1"/>
      <w:marLeft w:val="0"/>
      <w:marRight w:val="0"/>
      <w:marTop w:val="0"/>
      <w:marBottom w:val="0"/>
      <w:divBdr>
        <w:top w:val="none" w:sz="0" w:space="0" w:color="auto"/>
        <w:left w:val="none" w:sz="0" w:space="0" w:color="auto"/>
        <w:bottom w:val="none" w:sz="0" w:space="0" w:color="auto"/>
        <w:right w:val="none" w:sz="0" w:space="0" w:color="auto"/>
      </w:divBdr>
    </w:div>
    <w:div w:id="1799840823">
      <w:bodyDiv w:val="1"/>
      <w:marLeft w:val="0"/>
      <w:marRight w:val="0"/>
      <w:marTop w:val="0"/>
      <w:marBottom w:val="0"/>
      <w:divBdr>
        <w:top w:val="none" w:sz="0" w:space="0" w:color="auto"/>
        <w:left w:val="none" w:sz="0" w:space="0" w:color="auto"/>
        <w:bottom w:val="none" w:sz="0" w:space="0" w:color="auto"/>
        <w:right w:val="none" w:sz="0" w:space="0" w:color="auto"/>
      </w:divBdr>
    </w:div>
    <w:div w:id="1844542359">
      <w:bodyDiv w:val="1"/>
      <w:marLeft w:val="0"/>
      <w:marRight w:val="0"/>
      <w:marTop w:val="0"/>
      <w:marBottom w:val="0"/>
      <w:divBdr>
        <w:top w:val="none" w:sz="0" w:space="0" w:color="auto"/>
        <w:left w:val="none" w:sz="0" w:space="0" w:color="auto"/>
        <w:bottom w:val="none" w:sz="0" w:space="0" w:color="auto"/>
        <w:right w:val="none" w:sz="0" w:space="0" w:color="auto"/>
      </w:divBdr>
      <w:divsChild>
        <w:div w:id="199827013">
          <w:marLeft w:val="0"/>
          <w:marRight w:val="0"/>
          <w:marTop w:val="0"/>
          <w:marBottom w:val="0"/>
          <w:divBdr>
            <w:top w:val="none" w:sz="0" w:space="0" w:color="auto"/>
            <w:left w:val="none" w:sz="0" w:space="0" w:color="auto"/>
            <w:bottom w:val="none" w:sz="0" w:space="0" w:color="auto"/>
            <w:right w:val="none" w:sz="0" w:space="0" w:color="auto"/>
          </w:divBdr>
        </w:div>
        <w:div w:id="331956340">
          <w:marLeft w:val="0"/>
          <w:marRight w:val="0"/>
          <w:marTop w:val="0"/>
          <w:marBottom w:val="0"/>
          <w:divBdr>
            <w:top w:val="none" w:sz="0" w:space="0" w:color="auto"/>
            <w:left w:val="none" w:sz="0" w:space="0" w:color="auto"/>
            <w:bottom w:val="none" w:sz="0" w:space="0" w:color="auto"/>
            <w:right w:val="none" w:sz="0" w:space="0" w:color="auto"/>
          </w:divBdr>
        </w:div>
        <w:div w:id="881290178">
          <w:marLeft w:val="0"/>
          <w:marRight w:val="0"/>
          <w:marTop w:val="0"/>
          <w:marBottom w:val="0"/>
          <w:divBdr>
            <w:top w:val="none" w:sz="0" w:space="0" w:color="auto"/>
            <w:left w:val="none" w:sz="0" w:space="0" w:color="auto"/>
            <w:bottom w:val="none" w:sz="0" w:space="0" w:color="auto"/>
            <w:right w:val="none" w:sz="0" w:space="0" w:color="auto"/>
          </w:divBdr>
        </w:div>
        <w:div w:id="1146706330">
          <w:marLeft w:val="0"/>
          <w:marRight w:val="0"/>
          <w:marTop w:val="0"/>
          <w:marBottom w:val="0"/>
          <w:divBdr>
            <w:top w:val="none" w:sz="0" w:space="0" w:color="auto"/>
            <w:left w:val="none" w:sz="0" w:space="0" w:color="auto"/>
            <w:bottom w:val="none" w:sz="0" w:space="0" w:color="auto"/>
            <w:right w:val="none" w:sz="0" w:space="0" w:color="auto"/>
          </w:divBdr>
        </w:div>
        <w:div w:id="1211500952">
          <w:marLeft w:val="0"/>
          <w:marRight w:val="0"/>
          <w:marTop w:val="0"/>
          <w:marBottom w:val="0"/>
          <w:divBdr>
            <w:top w:val="none" w:sz="0" w:space="0" w:color="auto"/>
            <w:left w:val="none" w:sz="0" w:space="0" w:color="auto"/>
            <w:bottom w:val="none" w:sz="0" w:space="0" w:color="auto"/>
            <w:right w:val="none" w:sz="0" w:space="0" w:color="auto"/>
          </w:divBdr>
        </w:div>
        <w:div w:id="1296570261">
          <w:marLeft w:val="0"/>
          <w:marRight w:val="0"/>
          <w:marTop w:val="0"/>
          <w:marBottom w:val="0"/>
          <w:divBdr>
            <w:top w:val="none" w:sz="0" w:space="0" w:color="auto"/>
            <w:left w:val="none" w:sz="0" w:space="0" w:color="auto"/>
            <w:bottom w:val="none" w:sz="0" w:space="0" w:color="auto"/>
            <w:right w:val="none" w:sz="0" w:space="0" w:color="auto"/>
          </w:divBdr>
        </w:div>
        <w:div w:id="1313094796">
          <w:marLeft w:val="0"/>
          <w:marRight w:val="0"/>
          <w:marTop w:val="0"/>
          <w:marBottom w:val="0"/>
          <w:divBdr>
            <w:top w:val="none" w:sz="0" w:space="0" w:color="auto"/>
            <w:left w:val="none" w:sz="0" w:space="0" w:color="auto"/>
            <w:bottom w:val="none" w:sz="0" w:space="0" w:color="auto"/>
            <w:right w:val="none" w:sz="0" w:space="0" w:color="auto"/>
          </w:divBdr>
        </w:div>
        <w:div w:id="2128617809">
          <w:marLeft w:val="0"/>
          <w:marRight w:val="0"/>
          <w:marTop w:val="0"/>
          <w:marBottom w:val="0"/>
          <w:divBdr>
            <w:top w:val="none" w:sz="0" w:space="0" w:color="auto"/>
            <w:left w:val="none" w:sz="0" w:space="0" w:color="auto"/>
            <w:bottom w:val="none" w:sz="0" w:space="0" w:color="auto"/>
            <w:right w:val="none" w:sz="0" w:space="0" w:color="auto"/>
          </w:divBdr>
        </w:div>
      </w:divsChild>
    </w:div>
    <w:div w:id="1907959335">
      <w:bodyDiv w:val="1"/>
      <w:marLeft w:val="0"/>
      <w:marRight w:val="0"/>
      <w:marTop w:val="0"/>
      <w:marBottom w:val="0"/>
      <w:divBdr>
        <w:top w:val="none" w:sz="0" w:space="0" w:color="auto"/>
        <w:left w:val="none" w:sz="0" w:space="0" w:color="auto"/>
        <w:bottom w:val="none" w:sz="0" w:space="0" w:color="auto"/>
        <w:right w:val="none" w:sz="0" w:space="0" w:color="auto"/>
      </w:divBdr>
    </w:div>
    <w:div w:id="1916671942">
      <w:bodyDiv w:val="1"/>
      <w:marLeft w:val="0"/>
      <w:marRight w:val="0"/>
      <w:marTop w:val="0"/>
      <w:marBottom w:val="0"/>
      <w:divBdr>
        <w:top w:val="none" w:sz="0" w:space="0" w:color="auto"/>
        <w:left w:val="none" w:sz="0" w:space="0" w:color="auto"/>
        <w:bottom w:val="none" w:sz="0" w:space="0" w:color="auto"/>
        <w:right w:val="none" w:sz="0" w:space="0" w:color="auto"/>
      </w:divBdr>
    </w:div>
    <w:div w:id="1938244513">
      <w:bodyDiv w:val="1"/>
      <w:marLeft w:val="0"/>
      <w:marRight w:val="0"/>
      <w:marTop w:val="0"/>
      <w:marBottom w:val="0"/>
      <w:divBdr>
        <w:top w:val="none" w:sz="0" w:space="0" w:color="auto"/>
        <w:left w:val="none" w:sz="0" w:space="0" w:color="auto"/>
        <w:bottom w:val="none" w:sz="0" w:space="0" w:color="auto"/>
        <w:right w:val="none" w:sz="0" w:space="0" w:color="auto"/>
      </w:divBdr>
    </w:div>
    <w:div w:id="1939605312">
      <w:bodyDiv w:val="1"/>
      <w:marLeft w:val="0"/>
      <w:marRight w:val="0"/>
      <w:marTop w:val="0"/>
      <w:marBottom w:val="0"/>
      <w:divBdr>
        <w:top w:val="none" w:sz="0" w:space="0" w:color="auto"/>
        <w:left w:val="none" w:sz="0" w:space="0" w:color="auto"/>
        <w:bottom w:val="none" w:sz="0" w:space="0" w:color="auto"/>
        <w:right w:val="none" w:sz="0" w:space="0" w:color="auto"/>
      </w:divBdr>
      <w:divsChild>
        <w:div w:id="154105967">
          <w:marLeft w:val="0"/>
          <w:marRight w:val="0"/>
          <w:marTop w:val="0"/>
          <w:marBottom w:val="0"/>
          <w:divBdr>
            <w:top w:val="none" w:sz="0" w:space="0" w:color="auto"/>
            <w:left w:val="none" w:sz="0" w:space="0" w:color="auto"/>
            <w:bottom w:val="none" w:sz="0" w:space="0" w:color="auto"/>
            <w:right w:val="none" w:sz="0" w:space="0" w:color="auto"/>
          </w:divBdr>
        </w:div>
        <w:div w:id="794447960">
          <w:marLeft w:val="0"/>
          <w:marRight w:val="0"/>
          <w:marTop w:val="0"/>
          <w:marBottom w:val="0"/>
          <w:divBdr>
            <w:top w:val="none" w:sz="0" w:space="0" w:color="auto"/>
            <w:left w:val="none" w:sz="0" w:space="0" w:color="auto"/>
            <w:bottom w:val="none" w:sz="0" w:space="0" w:color="auto"/>
            <w:right w:val="none" w:sz="0" w:space="0" w:color="auto"/>
          </w:divBdr>
          <w:divsChild>
            <w:div w:id="417823337">
              <w:marLeft w:val="0"/>
              <w:marRight w:val="0"/>
              <w:marTop w:val="0"/>
              <w:marBottom w:val="0"/>
              <w:divBdr>
                <w:top w:val="none" w:sz="0" w:space="0" w:color="auto"/>
                <w:left w:val="none" w:sz="0" w:space="0" w:color="auto"/>
                <w:bottom w:val="none" w:sz="0" w:space="0" w:color="auto"/>
                <w:right w:val="none" w:sz="0" w:space="0" w:color="auto"/>
              </w:divBdr>
            </w:div>
          </w:divsChild>
        </w:div>
        <w:div w:id="950430704">
          <w:marLeft w:val="0"/>
          <w:marRight w:val="0"/>
          <w:marTop w:val="0"/>
          <w:marBottom w:val="0"/>
          <w:divBdr>
            <w:top w:val="none" w:sz="0" w:space="0" w:color="auto"/>
            <w:left w:val="none" w:sz="0" w:space="0" w:color="auto"/>
            <w:bottom w:val="none" w:sz="0" w:space="0" w:color="auto"/>
            <w:right w:val="none" w:sz="0" w:space="0" w:color="auto"/>
          </w:divBdr>
        </w:div>
        <w:div w:id="1689795159">
          <w:marLeft w:val="0"/>
          <w:marRight w:val="0"/>
          <w:marTop w:val="0"/>
          <w:marBottom w:val="0"/>
          <w:divBdr>
            <w:top w:val="none" w:sz="0" w:space="0" w:color="auto"/>
            <w:left w:val="none" w:sz="0" w:space="0" w:color="auto"/>
            <w:bottom w:val="none" w:sz="0" w:space="0" w:color="auto"/>
            <w:right w:val="none" w:sz="0" w:space="0" w:color="auto"/>
          </w:divBdr>
        </w:div>
      </w:divsChild>
    </w:div>
    <w:div w:id="1966736613">
      <w:bodyDiv w:val="1"/>
      <w:marLeft w:val="0"/>
      <w:marRight w:val="0"/>
      <w:marTop w:val="0"/>
      <w:marBottom w:val="0"/>
      <w:divBdr>
        <w:top w:val="none" w:sz="0" w:space="0" w:color="auto"/>
        <w:left w:val="none" w:sz="0" w:space="0" w:color="auto"/>
        <w:bottom w:val="none" w:sz="0" w:space="0" w:color="auto"/>
        <w:right w:val="none" w:sz="0" w:space="0" w:color="auto"/>
      </w:divBdr>
    </w:div>
    <w:div w:id="1996835667">
      <w:bodyDiv w:val="1"/>
      <w:marLeft w:val="0"/>
      <w:marRight w:val="0"/>
      <w:marTop w:val="0"/>
      <w:marBottom w:val="0"/>
      <w:divBdr>
        <w:top w:val="none" w:sz="0" w:space="0" w:color="auto"/>
        <w:left w:val="none" w:sz="0" w:space="0" w:color="auto"/>
        <w:bottom w:val="none" w:sz="0" w:space="0" w:color="auto"/>
        <w:right w:val="none" w:sz="0" w:space="0" w:color="auto"/>
      </w:divBdr>
    </w:div>
    <w:div w:id="2066490131">
      <w:bodyDiv w:val="1"/>
      <w:marLeft w:val="0"/>
      <w:marRight w:val="0"/>
      <w:marTop w:val="0"/>
      <w:marBottom w:val="0"/>
      <w:divBdr>
        <w:top w:val="none" w:sz="0" w:space="0" w:color="auto"/>
        <w:left w:val="none" w:sz="0" w:space="0" w:color="auto"/>
        <w:bottom w:val="none" w:sz="0" w:space="0" w:color="auto"/>
        <w:right w:val="none" w:sz="0" w:space="0" w:color="auto"/>
      </w:divBdr>
    </w:div>
    <w:div w:id="2069186072">
      <w:bodyDiv w:val="1"/>
      <w:marLeft w:val="0"/>
      <w:marRight w:val="0"/>
      <w:marTop w:val="0"/>
      <w:marBottom w:val="0"/>
      <w:divBdr>
        <w:top w:val="none" w:sz="0" w:space="0" w:color="auto"/>
        <w:left w:val="none" w:sz="0" w:space="0" w:color="auto"/>
        <w:bottom w:val="none" w:sz="0" w:space="0" w:color="auto"/>
        <w:right w:val="none" w:sz="0" w:space="0" w:color="auto"/>
      </w:divBdr>
    </w:div>
    <w:div w:id="2092894557">
      <w:bodyDiv w:val="1"/>
      <w:marLeft w:val="0"/>
      <w:marRight w:val="0"/>
      <w:marTop w:val="0"/>
      <w:marBottom w:val="0"/>
      <w:divBdr>
        <w:top w:val="none" w:sz="0" w:space="0" w:color="auto"/>
        <w:left w:val="none" w:sz="0" w:space="0" w:color="auto"/>
        <w:bottom w:val="none" w:sz="0" w:space="0" w:color="auto"/>
        <w:right w:val="none" w:sz="0" w:space="0" w:color="auto"/>
      </w:divBdr>
      <w:divsChild>
        <w:div w:id="116533097">
          <w:marLeft w:val="0"/>
          <w:marRight w:val="0"/>
          <w:marTop w:val="0"/>
          <w:marBottom w:val="0"/>
          <w:divBdr>
            <w:top w:val="none" w:sz="0" w:space="0" w:color="auto"/>
            <w:left w:val="none" w:sz="0" w:space="0" w:color="auto"/>
            <w:bottom w:val="none" w:sz="0" w:space="0" w:color="auto"/>
            <w:right w:val="none" w:sz="0" w:space="0" w:color="auto"/>
          </w:divBdr>
        </w:div>
        <w:div w:id="1360082432">
          <w:marLeft w:val="0"/>
          <w:marRight w:val="0"/>
          <w:marTop w:val="0"/>
          <w:marBottom w:val="0"/>
          <w:divBdr>
            <w:top w:val="none" w:sz="0" w:space="0" w:color="auto"/>
            <w:left w:val="none" w:sz="0" w:space="0" w:color="auto"/>
            <w:bottom w:val="none" w:sz="0" w:space="0" w:color="auto"/>
            <w:right w:val="none" w:sz="0" w:space="0" w:color="auto"/>
          </w:divBdr>
        </w:div>
        <w:div w:id="1465000225">
          <w:marLeft w:val="0"/>
          <w:marRight w:val="0"/>
          <w:marTop w:val="0"/>
          <w:marBottom w:val="0"/>
          <w:divBdr>
            <w:top w:val="none" w:sz="0" w:space="0" w:color="auto"/>
            <w:left w:val="none" w:sz="0" w:space="0" w:color="auto"/>
            <w:bottom w:val="none" w:sz="0" w:space="0" w:color="auto"/>
            <w:right w:val="none" w:sz="0" w:space="0" w:color="auto"/>
          </w:divBdr>
        </w:div>
      </w:divsChild>
    </w:div>
    <w:div w:id="210017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g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A415AFC7D1D14DA640DD75805C75D9" ma:contentTypeVersion="4" ma:contentTypeDescription="Create a new document." ma:contentTypeScope="" ma:versionID="cac29e03072f2df7d859868551cee028">
  <xsd:schema xmlns:xsd="http://www.w3.org/2001/XMLSchema" xmlns:xs="http://www.w3.org/2001/XMLSchema" xmlns:p="http://schemas.microsoft.com/office/2006/metadata/properties" xmlns:ns2="688d05a0-6170-411d-bed9-21e344faa372" targetNamespace="http://schemas.microsoft.com/office/2006/metadata/properties" ma:root="true" ma:fieldsID="fe4bd133f1b17612cad29e83c009e08e" ns2:_="">
    <xsd:import namespace="688d05a0-6170-411d-bed9-21e344faa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d05a0-6170-411d-bed9-21e344faa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CA0C3-06E9-457B-B688-66952808E9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3B9A7B-8950-4710-B81D-4902B1B3BC7E}">
  <ds:schemaRefs>
    <ds:schemaRef ds:uri="http://schemas.openxmlformats.org/officeDocument/2006/bibliography"/>
  </ds:schemaRefs>
</ds:datastoreItem>
</file>

<file path=customXml/itemProps3.xml><?xml version="1.0" encoding="utf-8"?>
<ds:datastoreItem xmlns:ds="http://schemas.openxmlformats.org/officeDocument/2006/customXml" ds:itemID="{4B488FF5-790A-4EA1-95DD-C873C841B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d05a0-6170-411d-bed9-21e344faa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49D9B1-B1EF-45C1-955D-4277256505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2545</Words>
  <Characters>14511</Characters>
  <Application>Microsoft Office Word</Application>
  <DocSecurity>4</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17022</CharactersWithSpaces>
  <SharedDoc>false</SharedDoc>
  <HLinks>
    <vt:vector size="732" baseType="variant">
      <vt:variant>
        <vt:i4>5570647</vt:i4>
      </vt:variant>
      <vt:variant>
        <vt:i4>363</vt:i4>
      </vt:variant>
      <vt:variant>
        <vt:i4>0</vt:i4>
      </vt:variant>
      <vt:variant>
        <vt:i4>5</vt:i4>
      </vt:variant>
      <vt:variant>
        <vt:lpwstr>https://www.gsa.gov/</vt:lpwstr>
      </vt:variant>
      <vt:variant>
        <vt:lpwstr/>
      </vt:variant>
      <vt:variant>
        <vt:i4>6619157</vt:i4>
      </vt:variant>
      <vt:variant>
        <vt:i4>360</vt:i4>
      </vt:variant>
      <vt:variant>
        <vt:i4>0</vt:i4>
      </vt:variant>
      <vt:variant>
        <vt:i4>5</vt:i4>
      </vt:variant>
      <vt:variant>
        <vt:lpwstr>https://gata.illinois.gov/content/dam/soi/en/web/gata/documents/resource-library/gata-forms1/Budget_2023.pdf</vt:lpwstr>
      </vt:variant>
      <vt:variant>
        <vt:lpwstr/>
      </vt:variant>
      <vt:variant>
        <vt:i4>2490495</vt:i4>
      </vt:variant>
      <vt:variant>
        <vt:i4>357</vt:i4>
      </vt:variant>
      <vt:variant>
        <vt:i4>0</vt:i4>
      </vt:variant>
      <vt:variant>
        <vt:i4>5</vt:i4>
      </vt:variant>
      <vt:variant>
        <vt:lpwstr>https://www.dhs.state.il.us/onenetlibrary/12/documents/Forms/IL444-5262.pdf</vt:lpwstr>
      </vt:variant>
      <vt:variant>
        <vt:lpwstr/>
      </vt:variant>
      <vt:variant>
        <vt:i4>4128817</vt:i4>
      </vt:variant>
      <vt:variant>
        <vt:i4>354</vt:i4>
      </vt:variant>
      <vt:variant>
        <vt:i4>0</vt:i4>
      </vt:variant>
      <vt:variant>
        <vt:i4>5</vt:i4>
      </vt:variant>
      <vt:variant>
        <vt:lpwstr>https://www.dhs.state.il.us/onenetlibrary/12/documents/Forms/445205-220203.pdf</vt:lpwstr>
      </vt:variant>
      <vt:variant>
        <vt:lpwstr/>
      </vt:variant>
      <vt:variant>
        <vt:i4>4718704</vt:i4>
      </vt:variant>
      <vt:variant>
        <vt:i4>351</vt:i4>
      </vt:variant>
      <vt:variant>
        <vt:i4>0</vt:i4>
      </vt:variant>
      <vt:variant>
        <vt:i4>5</vt:i4>
      </vt:variant>
      <vt:variant>
        <vt:lpwstr>mailto:DHS.ServeIllinois.NOFO@illinois.gov</vt:lpwstr>
      </vt:variant>
      <vt:variant>
        <vt:lpwstr/>
      </vt:variant>
      <vt:variant>
        <vt:i4>852050</vt:i4>
      </vt:variant>
      <vt:variant>
        <vt:i4>348</vt:i4>
      </vt:variant>
      <vt:variant>
        <vt:i4>0</vt:i4>
      </vt:variant>
      <vt:variant>
        <vt:i4>5</vt:i4>
      </vt:variant>
      <vt:variant>
        <vt:lpwstr>https://www.govinfo.gov/content/pkg/USCODE-2020-title42/pdf/USCODE-2020-title42-chap66-subchapI-partA-sec4953.pdf</vt:lpwstr>
      </vt:variant>
      <vt:variant>
        <vt:lpwstr/>
      </vt:variant>
      <vt:variant>
        <vt:i4>6422582</vt:i4>
      </vt:variant>
      <vt:variant>
        <vt:i4>345</vt:i4>
      </vt:variant>
      <vt:variant>
        <vt:i4>0</vt:i4>
      </vt:variant>
      <vt:variant>
        <vt:i4>5</vt:i4>
      </vt:variant>
      <vt:variant>
        <vt:lpwstr>https://uscode.house.gov/view.xhtml?req=granuleid:USC-prelim-title42-section12592&amp;num=0&amp;edition=prelim</vt:lpwstr>
      </vt:variant>
      <vt:variant>
        <vt:lpwstr/>
      </vt:variant>
      <vt:variant>
        <vt:i4>6553698</vt:i4>
      </vt:variant>
      <vt:variant>
        <vt:i4>342</vt:i4>
      </vt:variant>
      <vt:variant>
        <vt:i4>0</vt:i4>
      </vt:variant>
      <vt:variant>
        <vt:i4>5</vt:i4>
      </vt:variant>
      <vt:variant>
        <vt:lpwstr>https://uscode.house.gov/view.xhtml?req=Title+18&amp;f=treesort&amp;num=141</vt:lpwstr>
      </vt:variant>
      <vt:variant>
        <vt:lpwstr/>
      </vt:variant>
      <vt:variant>
        <vt:i4>3342428</vt:i4>
      </vt:variant>
      <vt:variant>
        <vt:i4>339</vt:i4>
      </vt:variant>
      <vt:variant>
        <vt:i4>0</vt:i4>
      </vt:variant>
      <vt:variant>
        <vt:i4>5</vt:i4>
      </vt:variant>
      <vt:variant>
        <vt:lpwstr>https://www.ecfr.gov/current/title-5/chapter-III/subchapter-B/part-1320</vt:lpwstr>
      </vt:variant>
      <vt:variant>
        <vt:lpwstr>se5.3.1320_15</vt:lpwstr>
      </vt:variant>
      <vt:variant>
        <vt:i4>720920</vt:i4>
      </vt:variant>
      <vt:variant>
        <vt:i4>336</vt:i4>
      </vt:variant>
      <vt:variant>
        <vt:i4>0</vt:i4>
      </vt:variant>
      <vt:variant>
        <vt:i4>5</vt:i4>
      </vt:variant>
      <vt:variant>
        <vt:lpwstr>https://www.ecfr.gov/current/title-2/subtitle-A/chapter-II/part-200/appendix-Appendix XII to Part 200</vt:lpwstr>
      </vt:variant>
      <vt:variant>
        <vt:lpwstr/>
      </vt:variant>
      <vt:variant>
        <vt:i4>4194339</vt:i4>
      </vt:variant>
      <vt:variant>
        <vt:i4>333</vt:i4>
      </vt:variant>
      <vt:variant>
        <vt:i4>0</vt:i4>
      </vt:variant>
      <vt:variant>
        <vt:i4>5</vt:i4>
      </vt:variant>
      <vt:variant>
        <vt:lpwstr>mailto:DHS.ILAMREPORTING@illinois.gov</vt:lpwstr>
      </vt:variant>
      <vt:variant>
        <vt:lpwstr/>
      </vt:variant>
      <vt:variant>
        <vt:i4>5505110</vt:i4>
      </vt:variant>
      <vt:variant>
        <vt:i4>330</vt:i4>
      </vt:variant>
      <vt:variant>
        <vt:i4>0</vt:i4>
      </vt:variant>
      <vt:variant>
        <vt:i4>5</vt:i4>
      </vt:variant>
      <vt:variant>
        <vt:lpwstr>https://uscode.house.gov/view.xhtml?req=granuleid:USC-prelim-title42-section6101&amp;num=0&amp;edition=prelim</vt:lpwstr>
      </vt:variant>
      <vt:variant>
        <vt:lpwstr/>
      </vt:variant>
      <vt:variant>
        <vt:i4>7012401</vt:i4>
      </vt:variant>
      <vt:variant>
        <vt:i4>327</vt:i4>
      </vt:variant>
      <vt:variant>
        <vt:i4>0</vt:i4>
      </vt:variant>
      <vt:variant>
        <vt:i4>5</vt:i4>
      </vt:variant>
      <vt:variant>
        <vt:lpwstr>https://uscode.house.gov/view.xhtml?req=granuleid:USC-1994-title42-section12101&amp;num=0&amp;edition=1994</vt:lpwstr>
      </vt:variant>
      <vt:variant>
        <vt:lpwstr/>
      </vt:variant>
      <vt:variant>
        <vt:i4>5963781</vt:i4>
      </vt:variant>
      <vt:variant>
        <vt:i4>324</vt:i4>
      </vt:variant>
      <vt:variant>
        <vt:i4>0</vt:i4>
      </vt:variant>
      <vt:variant>
        <vt:i4>5</vt:i4>
      </vt:variant>
      <vt:variant>
        <vt:lpwstr>https://uscode.house.gov/view.xhtml?req=granuleid:USC-prelim-title29-section794&amp;num=0&amp;edition=prelim</vt:lpwstr>
      </vt:variant>
      <vt:variant>
        <vt:lpwstr/>
      </vt:variant>
      <vt:variant>
        <vt:i4>4456540</vt:i4>
      </vt:variant>
      <vt:variant>
        <vt:i4>321</vt:i4>
      </vt:variant>
      <vt:variant>
        <vt:i4>0</vt:i4>
      </vt:variant>
      <vt:variant>
        <vt:i4>5</vt:i4>
      </vt:variant>
      <vt:variant>
        <vt:lpwstr>https://uscode.house.gov/view.xhtml?req=granuleid:USC-prelim-title42-section2000h-6&amp;num=0&amp;edition=prelim</vt:lpwstr>
      </vt:variant>
      <vt:variant>
        <vt:lpwstr/>
      </vt:variant>
      <vt:variant>
        <vt:i4>8192053</vt:i4>
      </vt:variant>
      <vt:variant>
        <vt:i4>318</vt:i4>
      </vt:variant>
      <vt:variant>
        <vt:i4>0</vt:i4>
      </vt:variant>
      <vt:variant>
        <vt:i4>5</vt:i4>
      </vt:variant>
      <vt:variant>
        <vt:lpwstr>https://uscode.house.gov/view.xhtml?req=(title:42%20section:2000a%20edition:prelim)</vt:lpwstr>
      </vt:variant>
      <vt:variant>
        <vt:lpwstr/>
      </vt:variant>
      <vt:variant>
        <vt:i4>7274558</vt:i4>
      </vt:variant>
      <vt:variant>
        <vt:i4>315</vt:i4>
      </vt:variant>
      <vt:variant>
        <vt:i4>0</vt:i4>
      </vt:variant>
      <vt:variant>
        <vt:i4>5</vt:i4>
      </vt:variant>
      <vt:variant>
        <vt:lpwstr>https://witnessslips.ilga.gov/Legislation/ILCS/Articles?ActID=2267&amp;ChapterID=64</vt:lpwstr>
      </vt:variant>
      <vt:variant>
        <vt:lpwstr/>
      </vt:variant>
      <vt:variant>
        <vt:i4>6553645</vt:i4>
      </vt:variant>
      <vt:variant>
        <vt:i4>312</vt:i4>
      </vt:variant>
      <vt:variant>
        <vt:i4>0</vt:i4>
      </vt:variant>
      <vt:variant>
        <vt:i4>5</vt:i4>
      </vt:variant>
      <vt:variant>
        <vt:lpwstr>https://witnessslips.ilga.gov/legislation/ILCS/details?ActName=Illinois%20Human%20Rights%20Act.&amp;ActID=2266&amp;ChapterID=64&amp;ChapAct=775+ILCS+5%2F&amp;SeqStart=600000&amp;SeqEnd=1800000&amp;Print=True</vt:lpwstr>
      </vt:variant>
      <vt:variant>
        <vt:lpwstr/>
      </vt:variant>
      <vt:variant>
        <vt:i4>2359404</vt:i4>
      </vt:variant>
      <vt:variant>
        <vt:i4>309</vt:i4>
      </vt:variant>
      <vt:variant>
        <vt:i4>0</vt:i4>
      </vt:variant>
      <vt:variant>
        <vt:i4>5</vt:i4>
      </vt:variant>
      <vt:variant>
        <vt:lpwstr>https://www.ecfr.gov/current/title-45/subtitle-B/chapter-XXV/part-2540/subpart-B?toc=1</vt:lpwstr>
      </vt:variant>
      <vt:variant>
        <vt:lpwstr/>
      </vt:variant>
      <vt:variant>
        <vt:i4>3801148</vt:i4>
      </vt:variant>
      <vt:variant>
        <vt:i4>306</vt:i4>
      </vt:variant>
      <vt:variant>
        <vt:i4>0</vt:i4>
      </vt:variant>
      <vt:variant>
        <vt:i4>5</vt:i4>
      </vt:variant>
      <vt:variant>
        <vt:lpwstr>https://www.americorps.gov/grantees-sponsors/manage-your-grant</vt:lpwstr>
      </vt:variant>
      <vt:variant>
        <vt:lpwstr/>
      </vt:variant>
      <vt:variant>
        <vt:i4>2031725</vt:i4>
      </vt:variant>
      <vt:variant>
        <vt:i4>303</vt:i4>
      </vt:variant>
      <vt:variant>
        <vt:i4>0</vt:i4>
      </vt:variant>
      <vt:variant>
        <vt:i4>5</vt:i4>
      </vt:variant>
      <vt:variant>
        <vt:lpwstr>https://www.americorps.gov/sites/default/files/document/2026-01/Revised_FY2026_General_Terms_and_Conditions.pdf</vt:lpwstr>
      </vt:variant>
      <vt:variant>
        <vt:lpwstr/>
      </vt:variant>
      <vt:variant>
        <vt:i4>524307</vt:i4>
      </vt:variant>
      <vt:variant>
        <vt:i4>300</vt:i4>
      </vt:variant>
      <vt:variant>
        <vt:i4>0</vt:i4>
      </vt:variant>
      <vt:variant>
        <vt:i4>5</vt:i4>
      </vt:variant>
      <vt:variant>
        <vt:lpwstr>https://www.ilga.gov/agencies/JCAR/EntirePart?titlepart=04407000</vt:lpwstr>
      </vt:variant>
      <vt:variant>
        <vt:lpwstr/>
      </vt:variant>
      <vt:variant>
        <vt:i4>917524</vt:i4>
      </vt:variant>
      <vt:variant>
        <vt:i4>297</vt:i4>
      </vt:variant>
      <vt:variant>
        <vt:i4>0</vt:i4>
      </vt:variant>
      <vt:variant>
        <vt:i4>5</vt:i4>
      </vt:variant>
      <vt:variant>
        <vt:lpwstr>https://www.ecfr.gov/current/title-31/subtitle-B/chapter-II/subchapter-A/part-205</vt:lpwstr>
      </vt:variant>
      <vt:variant>
        <vt:lpwstr/>
      </vt:variant>
      <vt:variant>
        <vt:i4>524302</vt:i4>
      </vt:variant>
      <vt:variant>
        <vt:i4>294</vt:i4>
      </vt:variant>
      <vt:variant>
        <vt:i4>0</vt:i4>
      </vt:variant>
      <vt:variant>
        <vt:i4>5</vt:i4>
      </vt:variant>
      <vt:variant>
        <vt:lpwstr>https://www.ecfr.gov/current/title-2/subtitle-A/chapter-II/part-200/subpart-D/section-200.305</vt:lpwstr>
      </vt:variant>
      <vt:variant>
        <vt:lpwstr/>
      </vt:variant>
      <vt:variant>
        <vt:i4>524302</vt:i4>
      </vt:variant>
      <vt:variant>
        <vt:i4>291</vt:i4>
      </vt:variant>
      <vt:variant>
        <vt:i4>0</vt:i4>
      </vt:variant>
      <vt:variant>
        <vt:i4>5</vt:i4>
      </vt:variant>
      <vt:variant>
        <vt:lpwstr>https://www.ecfr.gov/current/title-2/subtitle-A/chapter-II/part-200/subpart-D/section-200.302</vt:lpwstr>
      </vt:variant>
      <vt:variant>
        <vt:lpwstr/>
      </vt:variant>
      <vt:variant>
        <vt:i4>3407893</vt:i4>
      </vt:variant>
      <vt:variant>
        <vt:i4>288</vt:i4>
      </vt:variant>
      <vt:variant>
        <vt:i4>0</vt:i4>
      </vt:variant>
      <vt:variant>
        <vt:i4>5</vt:i4>
      </vt:variant>
      <vt:variant>
        <vt:lpwstr>https://www.dhs.state.il.us/OneNetLibrary/27896/documents/Contracts/FY25/DHSFY25UGAClean3.11.24_A11Y.pdf</vt:lpwstr>
      </vt:variant>
      <vt:variant>
        <vt:lpwstr/>
      </vt:variant>
      <vt:variant>
        <vt:i4>5374055</vt:i4>
      </vt:variant>
      <vt:variant>
        <vt:i4>285</vt:i4>
      </vt:variant>
      <vt:variant>
        <vt:i4>0</vt:i4>
      </vt:variant>
      <vt:variant>
        <vt:i4>5</vt:i4>
      </vt:variant>
      <vt:variant>
        <vt:lpwstr>mailto:DHS.OCA.SignaturePages@illinois.gov</vt:lpwstr>
      </vt:variant>
      <vt:variant>
        <vt:lpwstr/>
      </vt:variant>
      <vt:variant>
        <vt:i4>524296</vt:i4>
      </vt:variant>
      <vt:variant>
        <vt:i4>282</vt:i4>
      </vt:variant>
      <vt:variant>
        <vt:i4>0</vt:i4>
      </vt:variant>
      <vt:variant>
        <vt:i4>5</vt:i4>
      </vt:variant>
      <vt:variant>
        <vt:lpwstr>https://www.ecfr.gov/current/title-2/subtitle-A/chapter-II/part-200/subpart-C/section-200.206</vt:lpwstr>
      </vt:variant>
      <vt:variant>
        <vt:lpwstr/>
      </vt:variant>
      <vt:variant>
        <vt:i4>5701715</vt:i4>
      </vt:variant>
      <vt:variant>
        <vt:i4>279</vt:i4>
      </vt:variant>
      <vt:variant>
        <vt:i4>0</vt:i4>
      </vt:variant>
      <vt:variant>
        <vt:i4>5</vt:i4>
      </vt:variant>
      <vt:variant>
        <vt:lpwstr>https://uscode.house.gov/view.xhtml?req=granuleid:USC-prelim-title41-section2313&amp;num=0&amp;edition=prelim</vt:lpwstr>
      </vt:variant>
      <vt:variant>
        <vt:lpwstr/>
      </vt:variant>
      <vt:variant>
        <vt:i4>2949169</vt:i4>
      </vt:variant>
      <vt:variant>
        <vt:i4>276</vt:i4>
      </vt:variant>
      <vt:variant>
        <vt:i4>0</vt:i4>
      </vt:variant>
      <vt:variant>
        <vt:i4>5</vt:i4>
      </vt:variant>
      <vt:variant>
        <vt:lpwstr>https://www.ecfr.gov/current/title-48/chapter-1/subchapter-A/part-2/subpart-2.1</vt:lpwstr>
      </vt:variant>
      <vt:variant>
        <vt:lpwstr/>
      </vt:variant>
      <vt:variant>
        <vt:i4>4718704</vt:i4>
      </vt:variant>
      <vt:variant>
        <vt:i4>273</vt:i4>
      </vt:variant>
      <vt:variant>
        <vt:i4>0</vt:i4>
      </vt:variant>
      <vt:variant>
        <vt:i4>5</vt:i4>
      </vt:variant>
      <vt:variant>
        <vt:lpwstr>mailto:DHS.ServeIllinois.NOFO@illinois.gov</vt:lpwstr>
      </vt:variant>
      <vt:variant>
        <vt:lpwstr/>
      </vt:variant>
      <vt:variant>
        <vt:i4>5046360</vt:i4>
      </vt:variant>
      <vt:variant>
        <vt:i4>270</vt:i4>
      </vt:variant>
      <vt:variant>
        <vt:i4>0</vt:i4>
      </vt:variant>
      <vt:variant>
        <vt:i4>5</vt:i4>
      </vt:variant>
      <vt:variant>
        <vt:lpwstr>https://www.ilga.gov/commission/jcar/admincode/044/044070000D03500R.html</vt:lpwstr>
      </vt:variant>
      <vt:variant>
        <vt:lpwstr/>
      </vt:variant>
      <vt:variant>
        <vt:i4>5177438</vt:i4>
      </vt:variant>
      <vt:variant>
        <vt:i4>267</vt:i4>
      </vt:variant>
      <vt:variant>
        <vt:i4>0</vt:i4>
      </vt:variant>
      <vt:variant>
        <vt:i4>5</vt:i4>
      </vt:variant>
      <vt:variant>
        <vt:lpwstr>https://www.ilga.gov/commission/jcar/admincode/044/044070000A00700R.html</vt:lpwstr>
      </vt:variant>
      <vt:variant>
        <vt:lpwstr/>
      </vt:variant>
      <vt:variant>
        <vt:i4>5111894</vt:i4>
      </vt:variant>
      <vt:variant>
        <vt:i4>264</vt:i4>
      </vt:variant>
      <vt:variant>
        <vt:i4>0</vt:i4>
      </vt:variant>
      <vt:variant>
        <vt:i4>5</vt:i4>
      </vt:variant>
      <vt:variant>
        <vt:lpwstr>https://sam.gov/content/home</vt:lpwstr>
      </vt:variant>
      <vt:variant>
        <vt:lpwstr/>
      </vt:variant>
      <vt:variant>
        <vt:i4>1966159</vt:i4>
      </vt:variant>
      <vt:variant>
        <vt:i4>261</vt:i4>
      </vt:variant>
      <vt:variant>
        <vt:i4>0</vt:i4>
      </vt:variant>
      <vt:variant>
        <vt:i4>5</vt:i4>
      </vt:variant>
      <vt:variant>
        <vt:lpwstr>https://sam.gov/</vt:lpwstr>
      </vt:variant>
      <vt:variant>
        <vt:lpwstr/>
      </vt:variant>
      <vt:variant>
        <vt:i4>1966159</vt:i4>
      </vt:variant>
      <vt:variant>
        <vt:i4>258</vt:i4>
      </vt:variant>
      <vt:variant>
        <vt:i4>0</vt:i4>
      </vt:variant>
      <vt:variant>
        <vt:i4>5</vt:i4>
      </vt:variant>
      <vt:variant>
        <vt:lpwstr>https://sam.gov/</vt:lpwstr>
      </vt:variant>
      <vt:variant>
        <vt:lpwstr/>
      </vt:variant>
      <vt:variant>
        <vt:i4>4849667</vt:i4>
      </vt:variant>
      <vt:variant>
        <vt:i4>255</vt:i4>
      </vt:variant>
      <vt:variant>
        <vt:i4>0</vt:i4>
      </vt:variant>
      <vt:variant>
        <vt:i4>5</vt:i4>
      </vt:variant>
      <vt:variant>
        <vt:lpwstr>https://www.archives.gov/federal-register/codification/executive-order/12372.html</vt:lpwstr>
      </vt:variant>
      <vt:variant>
        <vt:lpwstr/>
      </vt:variant>
      <vt:variant>
        <vt:i4>4718704</vt:i4>
      </vt:variant>
      <vt:variant>
        <vt:i4>252</vt:i4>
      </vt:variant>
      <vt:variant>
        <vt:i4>0</vt:i4>
      </vt:variant>
      <vt:variant>
        <vt:i4>5</vt:i4>
      </vt:variant>
      <vt:variant>
        <vt:lpwstr>mailto:DHS.ServeIllinois.NOFO@illinois.gov</vt:lpwstr>
      </vt:variant>
      <vt:variant>
        <vt:lpwstr/>
      </vt:variant>
      <vt:variant>
        <vt:i4>5832829</vt:i4>
      </vt:variant>
      <vt:variant>
        <vt:i4>249</vt:i4>
      </vt:variant>
      <vt:variant>
        <vt:i4>0</vt:i4>
      </vt:variant>
      <vt:variant>
        <vt:i4>5</vt:i4>
      </vt:variant>
      <vt:variant>
        <vt:lpwstr>mailto:additionaldocuments@americorps.gov</vt:lpwstr>
      </vt:variant>
      <vt:variant>
        <vt:lpwstr/>
      </vt:variant>
      <vt:variant>
        <vt:i4>4718704</vt:i4>
      </vt:variant>
      <vt:variant>
        <vt:i4>246</vt:i4>
      </vt:variant>
      <vt:variant>
        <vt:i4>0</vt:i4>
      </vt:variant>
      <vt:variant>
        <vt:i4>5</vt:i4>
      </vt:variant>
      <vt:variant>
        <vt:lpwstr>mailto:DHS.ServeIllinois.NOFO@illinois.gov</vt:lpwstr>
      </vt:variant>
      <vt:variant>
        <vt:lpwstr/>
      </vt:variant>
      <vt:variant>
        <vt:i4>7143467</vt:i4>
      </vt:variant>
      <vt:variant>
        <vt:i4>243</vt:i4>
      </vt:variant>
      <vt:variant>
        <vt:i4>0</vt:i4>
      </vt:variant>
      <vt:variant>
        <vt:i4>5</vt:i4>
      </vt:variant>
      <vt:variant>
        <vt:lpwstr>https://www.americorps.gov/funding-opportunity/fy-2026-americorps-state-national-grants</vt:lpwstr>
      </vt:variant>
      <vt:variant>
        <vt:lpwstr/>
      </vt:variant>
      <vt:variant>
        <vt:i4>4849720</vt:i4>
      </vt:variant>
      <vt:variant>
        <vt:i4>240</vt:i4>
      </vt:variant>
      <vt:variant>
        <vt:i4>0</vt:i4>
      </vt:variant>
      <vt:variant>
        <vt:i4>5</vt:i4>
      </vt:variant>
      <vt:variant>
        <vt:lpwstr>https://forms.office.com/pages/responsepage.aspx?id=p1D40s6Ns0-nnGhn-VFDEjnkDwxqS6VKilbFvGA_KhFUMFRPWk8xWjZXMlpVUzA3WU9SWjNRV0sxVSQlQCN0PWcu&amp;route=shorturl</vt:lpwstr>
      </vt:variant>
      <vt:variant>
        <vt:lpwstr/>
      </vt:variant>
      <vt:variant>
        <vt:i4>4980815</vt:i4>
      </vt:variant>
      <vt:variant>
        <vt:i4>237</vt:i4>
      </vt:variant>
      <vt:variant>
        <vt:i4>0</vt:i4>
      </vt:variant>
      <vt:variant>
        <vt:i4>5</vt:i4>
      </vt:variant>
      <vt:variant>
        <vt:lpwstr>https://www.americorps.gov/sites/default/files/document/2026-01/2026-AmeriCorps-State-and-National-Mandatory-Supplemental-Information.pdf</vt:lpwstr>
      </vt:variant>
      <vt:variant>
        <vt:lpwstr/>
      </vt:variant>
      <vt:variant>
        <vt:i4>1048686</vt:i4>
      </vt:variant>
      <vt:variant>
        <vt:i4>234</vt:i4>
      </vt:variant>
      <vt:variant>
        <vt:i4>0</vt:i4>
      </vt:variant>
      <vt:variant>
        <vt:i4>5</vt:i4>
      </vt:variant>
      <vt:variant>
        <vt:lpwstr>mailto:Cory.Blissett@illinois.gov</vt:lpwstr>
      </vt:variant>
      <vt:variant>
        <vt:lpwstr/>
      </vt:variant>
      <vt:variant>
        <vt:i4>4718704</vt:i4>
      </vt:variant>
      <vt:variant>
        <vt:i4>231</vt:i4>
      </vt:variant>
      <vt:variant>
        <vt:i4>0</vt:i4>
      </vt:variant>
      <vt:variant>
        <vt:i4>5</vt:i4>
      </vt:variant>
      <vt:variant>
        <vt:lpwstr>mailto:DHS.ServeIllinois.NOFO@illinois.gov</vt:lpwstr>
      </vt:variant>
      <vt:variant>
        <vt:lpwstr/>
      </vt:variant>
      <vt:variant>
        <vt:i4>6619157</vt:i4>
      </vt:variant>
      <vt:variant>
        <vt:i4>228</vt:i4>
      </vt:variant>
      <vt:variant>
        <vt:i4>0</vt:i4>
      </vt:variant>
      <vt:variant>
        <vt:i4>5</vt:i4>
      </vt:variant>
      <vt:variant>
        <vt:lpwstr>https://gata.illinois.gov/content/dam/soi/en/web/gata/documents/resource-library/gata-forms1/Budget_2023.pdf</vt:lpwstr>
      </vt:variant>
      <vt:variant>
        <vt:lpwstr/>
      </vt:variant>
      <vt:variant>
        <vt:i4>4128817</vt:i4>
      </vt:variant>
      <vt:variant>
        <vt:i4>225</vt:i4>
      </vt:variant>
      <vt:variant>
        <vt:i4>0</vt:i4>
      </vt:variant>
      <vt:variant>
        <vt:i4>5</vt:i4>
      </vt:variant>
      <vt:variant>
        <vt:lpwstr>https://www.dhs.state.il.us/onenetlibrary/12/documents/Forms/445205-220203.pdf</vt:lpwstr>
      </vt:variant>
      <vt:variant>
        <vt:lpwstr/>
      </vt:variant>
      <vt:variant>
        <vt:i4>3670048</vt:i4>
      </vt:variant>
      <vt:variant>
        <vt:i4>222</vt:i4>
      </vt:variant>
      <vt:variant>
        <vt:i4>0</vt:i4>
      </vt:variant>
      <vt:variant>
        <vt:i4>5</vt:i4>
      </vt:variant>
      <vt:variant>
        <vt:lpwstr>https://www.dhs.state.il.us/OneNetLibrary/27896/documents/Contracts/GATA/Uniform-Application-for-State-Grant-Assistance.pdf</vt:lpwstr>
      </vt:variant>
      <vt:variant>
        <vt:lpwstr/>
      </vt:variant>
      <vt:variant>
        <vt:i4>4718704</vt:i4>
      </vt:variant>
      <vt:variant>
        <vt:i4>219</vt:i4>
      </vt:variant>
      <vt:variant>
        <vt:i4>0</vt:i4>
      </vt:variant>
      <vt:variant>
        <vt:i4>5</vt:i4>
      </vt:variant>
      <vt:variant>
        <vt:lpwstr>mailto:DHS.ServeIllinois.NOFO@illinois.gov</vt:lpwstr>
      </vt:variant>
      <vt:variant>
        <vt:lpwstr/>
      </vt:variant>
      <vt:variant>
        <vt:i4>1245255</vt:i4>
      </vt:variant>
      <vt:variant>
        <vt:i4>216</vt:i4>
      </vt:variant>
      <vt:variant>
        <vt:i4>0</vt:i4>
      </vt:variant>
      <vt:variant>
        <vt:i4>5</vt:i4>
      </vt:variant>
      <vt:variant>
        <vt:lpwstr>https://intranet.dhs.illinois.gov/oneweb/page.aspx?item=85526</vt:lpwstr>
      </vt:variant>
      <vt:variant>
        <vt:lpwstr/>
      </vt:variant>
      <vt:variant>
        <vt:i4>6619255</vt:i4>
      </vt:variant>
      <vt:variant>
        <vt:i4>213</vt:i4>
      </vt:variant>
      <vt:variant>
        <vt:i4>0</vt:i4>
      </vt:variant>
      <vt:variant>
        <vt:i4>5</vt:i4>
      </vt:variant>
      <vt:variant>
        <vt:lpwstr>https://grants.illinois.gov/portal/</vt:lpwstr>
      </vt:variant>
      <vt:variant>
        <vt:lpwstr/>
      </vt:variant>
      <vt:variant>
        <vt:i4>7077941</vt:i4>
      </vt:variant>
      <vt:variant>
        <vt:i4>210</vt:i4>
      </vt:variant>
      <vt:variant>
        <vt:i4>0</vt:i4>
      </vt:variant>
      <vt:variant>
        <vt:i4>5</vt:i4>
      </vt:variant>
      <vt:variant>
        <vt:lpwstr>https://www.ecfr.gov/current/title-2/subtitle-A/chapter-I/part-25/subpart-A/section-25.110</vt:lpwstr>
      </vt:variant>
      <vt:variant>
        <vt:lpwstr/>
      </vt:variant>
      <vt:variant>
        <vt:i4>7077941</vt:i4>
      </vt:variant>
      <vt:variant>
        <vt:i4>207</vt:i4>
      </vt:variant>
      <vt:variant>
        <vt:i4>0</vt:i4>
      </vt:variant>
      <vt:variant>
        <vt:i4>5</vt:i4>
      </vt:variant>
      <vt:variant>
        <vt:lpwstr>https://www.ecfr.gov/current/title-2/subtitle-A/chapter-I/part-25/subpart-A/section-25.110</vt:lpwstr>
      </vt:variant>
      <vt:variant>
        <vt:lpwstr/>
      </vt:variant>
      <vt:variant>
        <vt:i4>5111894</vt:i4>
      </vt:variant>
      <vt:variant>
        <vt:i4>204</vt:i4>
      </vt:variant>
      <vt:variant>
        <vt:i4>0</vt:i4>
      </vt:variant>
      <vt:variant>
        <vt:i4>5</vt:i4>
      </vt:variant>
      <vt:variant>
        <vt:lpwstr>https://sam.gov/content/home</vt:lpwstr>
      </vt:variant>
      <vt:variant>
        <vt:lpwstr/>
      </vt:variant>
      <vt:variant>
        <vt:i4>5111894</vt:i4>
      </vt:variant>
      <vt:variant>
        <vt:i4>201</vt:i4>
      </vt:variant>
      <vt:variant>
        <vt:i4>0</vt:i4>
      </vt:variant>
      <vt:variant>
        <vt:i4>5</vt:i4>
      </vt:variant>
      <vt:variant>
        <vt:lpwstr>https://sam.gov/content/home</vt:lpwstr>
      </vt:variant>
      <vt:variant>
        <vt:lpwstr/>
      </vt:variant>
      <vt:variant>
        <vt:i4>5177356</vt:i4>
      </vt:variant>
      <vt:variant>
        <vt:i4>198</vt:i4>
      </vt:variant>
      <vt:variant>
        <vt:i4>0</vt:i4>
      </vt:variant>
      <vt:variant>
        <vt:i4>5</vt:i4>
      </vt:variant>
      <vt:variant>
        <vt:lpwstr>http://www.dhs.state.il.us/page.aspx?item=177773</vt:lpwstr>
      </vt:variant>
      <vt:variant>
        <vt:lpwstr/>
      </vt:variant>
      <vt:variant>
        <vt:i4>1703963</vt:i4>
      </vt:variant>
      <vt:variant>
        <vt:i4>195</vt:i4>
      </vt:variant>
      <vt:variant>
        <vt:i4>0</vt:i4>
      </vt:variant>
      <vt:variant>
        <vt:i4>5</vt:i4>
      </vt:variant>
      <vt:variant>
        <vt:lpwstr>https://www.dhs.state.il.us/page.aspx?item=149872</vt:lpwstr>
      </vt:variant>
      <vt:variant>
        <vt:lpwstr/>
      </vt:variant>
      <vt:variant>
        <vt:i4>4718704</vt:i4>
      </vt:variant>
      <vt:variant>
        <vt:i4>192</vt:i4>
      </vt:variant>
      <vt:variant>
        <vt:i4>0</vt:i4>
      </vt:variant>
      <vt:variant>
        <vt:i4>5</vt:i4>
      </vt:variant>
      <vt:variant>
        <vt:lpwstr>mailto:DHS.ServeIllinois.NOFO@illinois.gov</vt:lpwstr>
      </vt:variant>
      <vt:variant>
        <vt:lpwstr/>
      </vt:variant>
      <vt:variant>
        <vt:i4>6619157</vt:i4>
      </vt:variant>
      <vt:variant>
        <vt:i4>189</vt:i4>
      </vt:variant>
      <vt:variant>
        <vt:i4>0</vt:i4>
      </vt:variant>
      <vt:variant>
        <vt:i4>5</vt:i4>
      </vt:variant>
      <vt:variant>
        <vt:lpwstr>https://gata.illinois.gov/content/dam/soi/en/web/gata/documents/resource-library/gata-forms1/Budget_2023.pdf</vt:lpwstr>
      </vt:variant>
      <vt:variant>
        <vt:lpwstr/>
      </vt:variant>
      <vt:variant>
        <vt:i4>4128817</vt:i4>
      </vt:variant>
      <vt:variant>
        <vt:i4>186</vt:i4>
      </vt:variant>
      <vt:variant>
        <vt:i4>0</vt:i4>
      </vt:variant>
      <vt:variant>
        <vt:i4>5</vt:i4>
      </vt:variant>
      <vt:variant>
        <vt:lpwstr>https://www.dhs.state.il.us/onenetlibrary/12/documents/Forms/445205-220203.pdf</vt:lpwstr>
      </vt:variant>
      <vt:variant>
        <vt:lpwstr/>
      </vt:variant>
      <vt:variant>
        <vt:i4>2490495</vt:i4>
      </vt:variant>
      <vt:variant>
        <vt:i4>183</vt:i4>
      </vt:variant>
      <vt:variant>
        <vt:i4>0</vt:i4>
      </vt:variant>
      <vt:variant>
        <vt:i4>5</vt:i4>
      </vt:variant>
      <vt:variant>
        <vt:lpwstr>https://www.dhs.state.il.us/onenetlibrary/12/documents/Forms/IL444-5262.pdf</vt:lpwstr>
      </vt:variant>
      <vt:variant>
        <vt:lpwstr/>
      </vt:variant>
      <vt:variant>
        <vt:i4>3080312</vt:i4>
      </vt:variant>
      <vt:variant>
        <vt:i4>180</vt:i4>
      </vt:variant>
      <vt:variant>
        <vt:i4>0</vt:i4>
      </vt:variant>
      <vt:variant>
        <vt:i4>5</vt:i4>
      </vt:variant>
      <vt:variant>
        <vt:lpwstr>https://www.ecfr.gov/current/title-2/subtitle-A/chapter-II/part-200</vt:lpwstr>
      </vt:variant>
      <vt:variant>
        <vt:lpwstr/>
      </vt:variant>
      <vt:variant>
        <vt:i4>1703952</vt:i4>
      </vt:variant>
      <vt:variant>
        <vt:i4>177</vt:i4>
      </vt:variant>
      <vt:variant>
        <vt:i4>0</vt:i4>
      </vt:variant>
      <vt:variant>
        <vt:i4>5</vt:i4>
      </vt:variant>
      <vt:variant>
        <vt:lpwstr>https://www.dhs.state.il.us/page.aspx?item=61069</vt:lpwstr>
      </vt:variant>
      <vt:variant>
        <vt:lpwstr/>
      </vt:variant>
      <vt:variant>
        <vt:i4>1703952</vt:i4>
      </vt:variant>
      <vt:variant>
        <vt:i4>174</vt:i4>
      </vt:variant>
      <vt:variant>
        <vt:i4>0</vt:i4>
      </vt:variant>
      <vt:variant>
        <vt:i4>5</vt:i4>
      </vt:variant>
      <vt:variant>
        <vt:lpwstr>https://www.dhs.state.il.us/page.aspx?item=61069</vt:lpwstr>
      </vt:variant>
      <vt:variant>
        <vt:lpwstr/>
      </vt:variant>
      <vt:variant>
        <vt:i4>4980815</vt:i4>
      </vt:variant>
      <vt:variant>
        <vt:i4>171</vt:i4>
      </vt:variant>
      <vt:variant>
        <vt:i4>0</vt:i4>
      </vt:variant>
      <vt:variant>
        <vt:i4>5</vt:i4>
      </vt:variant>
      <vt:variant>
        <vt:lpwstr>https://www.americorps.gov/sites/default/files/document/2026-01/2026-AmeriCorps-State-and-National-Mandatory-Supplemental-Information.pdf</vt:lpwstr>
      </vt:variant>
      <vt:variant>
        <vt:lpwstr/>
      </vt:variant>
      <vt:variant>
        <vt:i4>4456560</vt:i4>
      </vt:variant>
      <vt:variant>
        <vt:i4>168</vt:i4>
      </vt:variant>
      <vt:variant>
        <vt:i4>0</vt:i4>
      </vt:variant>
      <vt:variant>
        <vt:i4>5</vt:i4>
      </vt:variant>
      <vt:variant>
        <vt:lpwstr>mailto:IndirectCostRate@americorps.gov</vt:lpwstr>
      </vt:variant>
      <vt:variant>
        <vt:lpwstr/>
      </vt:variant>
      <vt:variant>
        <vt:i4>4718704</vt:i4>
      </vt:variant>
      <vt:variant>
        <vt:i4>165</vt:i4>
      </vt:variant>
      <vt:variant>
        <vt:i4>0</vt:i4>
      </vt:variant>
      <vt:variant>
        <vt:i4>5</vt:i4>
      </vt:variant>
      <vt:variant>
        <vt:lpwstr>mailto:DHS.ServeIllinois.NOFO@illinois.gov</vt:lpwstr>
      </vt:variant>
      <vt:variant>
        <vt:lpwstr/>
      </vt:variant>
      <vt:variant>
        <vt:i4>983113</vt:i4>
      </vt:variant>
      <vt:variant>
        <vt:i4>162</vt:i4>
      </vt:variant>
      <vt:variant>
        <vt:i4>0</vt:i4>
      </vt:variant>
      <vt:variant>
        <vt:i4>5</vt:i4>
      </vt:variant>
      <vt:variant>
        <vt:lpwstr>https://www.ecfr.gov/current/title-45/subtitle-B/chapter-XXV/part-2540/subpart-A/section-2540.110</vt:lpwstr>
      </vt:variant>
      <vt:variant>
        <vt:lpwstr/>
      </vt:variant>
      <vt:variant>
        <vt:i4>1179720</vt:i4>
      </vt:variant>
      <vt:variant>
        <vt:i4>159</vt:i4>
      </vt:variant>
      <vt:variant>
        <vt:i4>0</vt:i4>
      </vt:variant>
      <vt:variant>
        <vt:i4>5</vt:i4>
      </vt:variant>
      <vt:variant>
        <vt:lpwstr>https://www.ecfr.gov/current/title-45/subtitle-B/chapter-XXV/part-2521/subject-group-ECFR30615c285e05d4c/section-2521.95</vt:lpwstr>
      </vt:variant>
      <vt:variant>
        <vt:lpwstr/>
      </vt:variant>
      <vt:variant>
        <vt:i4>4587548</vt:i4>
      </vt:variant>
      <vt:variant>
        <vt:i4>156</vt:i4>
      </vt:variant>
      <vt:variant>
        <vt:i4>0</vt:i4>
      </vt:variant>
      <vt:variant>
        <vt:i4>5</vt:i4>
      </vt:variant>
      <vt:variant>
        <vt:lpwstr>https://www.govinfo.gov/content/pkg/COMPS-1628/pdf/COMPS-1628.pdf</vt:lpwstr>
      </vt:variant>
      <vt:variant>
        <vt:lpwstr/>
      </vt:variant>
      <vt:variant>
        <vt:i4>7864362</vt:i4>
      </vt:variant>
      <vt:variant>
        <vt:i4>153</vt:i4>
      </vt:variant>
      <vt:variant>
        <vt:i4>0</vt:i4>
      </vt:variant>
      <vt:variant>
        <vt:i4>5</vt:i4>
      </vt:variant>
      <vt:variant>
        <vt:lpwstr>https://www.ecfr.gov/current/title-2/subtitle-A/chapter-II/part-200/subpart-E/subject-group-ECFRd93f2a98b1f6455/section-200.413</vt:lpwstr>
      </vt:variant>
      <vt:variant>
        <vt:lpwstr/>
      </vt:variant>
      <vt:variant>
        <vt:i4>3145760</vt:i4>
      </vt:variant>
      <vt:variant>
        <vt:i4>150</vt:i4>
      </vt:variant>
      <vt:variant>
        <vt:i4>0</vt:i4>
      </vt:variant>
      <vt:variant>
        <vt:i4>5</vt:i4>
      </vt:variant>
      <vt:variant>
        <vt:lpwstr>https://gcc02.safelinks.protection.outlook.com/?url=https%3A%2F%2Famericorps.gov%2Fsites%2Fdefault%2Ffiles%2Fdocument%2FOADR-Indirect-Cost-Guidance-022124-508.pdf&amp;data=05%7C02%7CAHetrick%40americorps.gov%7C93eeebb90fd5412bf9bb08dcc086277c%7Cd2f850a78dce4fb3a79c6867f9514312%7C0%7C0%7C638596929621515352%7CUnknown%7CTWFpbGZsb3d8eyJWIjoiMC4wLjAwMDAiLCJQIjoiV2luMzIiLCJBTiI6Ik1haWwiLCJXVCI6Mn0%3D%7C0%7C%7C%7C&amp;sdata=B5njZ%2FQdGZZ3Z3HOoZYRm0%2FveotKlNdj2daM2WrBcDY%3D&amp;reserved=0</vt:lpwstr>
      </vt:variant>
      <vt:variant>
        <vt:lpwstr/>
      </vt:variant>
      <vt:variant>
        <vt:i4>7143467</vt:i4>
      </vt:variant>
      <vt:variant>
        <vt:i4>147</vt:i4>
      </vt:variant>
      <vt:variant>
        <vt:i4>0</vt:i4>
      </vt:variant>
      <vt:variant>
        <vt:i4>5</vt:i4>
      </vt:variant>
      <vt:variant>
        <vt:lpwstr>https://www.americorps.gov/funding-opportunity/fy-2026-americorps-state-national-grants</vt:lpwstr>
      </vt:variant>
      <vt:variant>
        <vt:lpwstr/>
      </vt:variant>
      <vt:variant>
        <vt:i4>7143467</vt:i4>
      </vt:variant>
      <vt:variant>
        <vt:i4>144</vt:i4>
      </vt:variant>
      <vt:variant>
        <vt:i4>0</vt:i4>
      </vt:variant>
      <vt:variant>
        <vt:i4>5</vt:i4>
      </vt:variant>
      <vt:variant>
        <vt:lpwstr>https://www.americorps.gov/funding-opportunity/fy-2026-americorps-state-national-grants</vt:lpwstr>
      </vt:variant>
      <vt:variant>
        <vt:lpwstr/>
      </vt:variant>
      <vt:variant>
        <vt:i4>7143467</vt:i4>
      </vt:variant>
      <vt:variant>
        <vt:i4>141</vt:i4>
      </vt:variant>
      <vt:variant>
        <vt:i4>0</vt:i4>
      </vt:variant>
      <vt:variant>
        <vt:i4>5</vt:i4>
      </vt:variant>
      <vt:variant>
        <vt:lpwstr>https://www.americorps.gov/funding-opportunity/fy-2026-americorps-state-national-grants</vt:lpwstr>
      </vt:variant>
      <vt:variant>
        <vt:lpwstr/>
      </vt:variant>
      <vt:variant>
        <vt:i4>2097272</vt:i4>
      </vt:variant>
      <vt:variant>
        <vt:i4>138</vt:i4>
      </vt:variant>
      <vt:variant>
        <vt:i4>0</vt:i4>
      </vt:variant>
      <vt:variant>
        <vt:i4>5</vt:i4>
      </vt:variant>
      <vt:variant>
        <vt:lpwstr>https://www.dhs.state.il.us/onenetlibrary/12/documents/Forms/IL444-5205.pdf</vt:lpwstr>
      </vt:variant>
      <vt:variant>
        <vt:lpwstr/>
      </vt:variant>
      <vt:variant>
        <vt:i4>6619157</vt:i4>
      </vt:variant>
      <vt:variant>
        <vt:i4>135</vt:i4>
      </vt:variant>
      <vt:variant>
        <vt:i4>0</vt:i4>
      </vt:variant>
      <vt:variant>
        <vt:i4>5</vt:i4>
      </vt:variant>
      <vt:variant>
        <vt:lpwstr>https://gata.illinois.gov/content/dam/soi/en/web/gata/documents/resource-library/gata-forms1/Budget_2023.pdf</vt:lpwstr>
      </vt:variant>
      <vt:variant>
        <vt:lpwstr/>
      </vt:variant>
      <vt:variant>
        <vt:i4>3670048</vt:i4>
      </vt:variant>
      <vt:variant>
        <vt:i4>132</vt:i4>
      </vt:variant>
      <vt:variant>
        <vt:i4>0</vt:i4>
      </vt:variant>
      <vt:variant>
        <vt:i4>5</vt:i4>
      </vt:variant>
      <vt:variant>
        <vt:lpwstr>https://www.dhs.state.il.us/OneNetLibrary/27896/documents/Contracts/GATA/Uniform-Application-for-State-Grant-Assistance.pdf</vt:lpwstr>
      </vt:variant>
      <vt:variant>
        <vt:lpwstr/>
      </vt:variant>
      <vt:variant>
        <vt:i4>4980815</vt:i4>
      </vt:variant>
      <vt:variant>
        <vt:i4>129</vt:i4>
      </vt:variant>
      <vt:variant>
        <vt:i4>0</vt:i4>
      </vt:variant>
      <vt:variant>
        <vt:i4>5</vt:i4>
      </vt:variant>
      <vt:variant>
        <vt:lpwstr>https://www.americorps.gov/sites/default/files/document/2026-01/2026-AmeriCorps-State-and-National-Mandatory-Supplemental-Information.pdf</vt:lpwstr>
      </vt:variant>
      <vt:variant>
        <vt:lpwstr/>
      </vt:variant>
      <vt:variant>
        <vt:i4>7602181</vt:i4>
      </vt:variant>
      <vt:variant>
        <vt:i4>126</vt:i4>
      </vt:variant>
      <vt:variant>
        <vt:i4>0</vt:i4>
      </vt:variant>
      <vt:variant>
        <vt:i4>5</vt:i4>
      </vt:variant>
      <vt:variant>
        <vt:lpwstr>https://www.americorps.gov/sites/default/files/document/2026-01/2026-AmeriCorps-State-and-National-Performance_Measure-Instructions.pdf</vt:lpwstr>
      </vt:variant>
      <vt:variant>
        <vt:lpwstr/>
      </vt:variant>
      <vt:variant>
        <vt:i4>8192041</vt:i4>
      </vt:variant>
      <vt:variant>
        <vt:i4>123</vt:i4>
      </vt:variant>
      <vt:variant>
        <vt:i4>0</vt:i4>
      </vt:variant>
      <vt:variant>
        <vt:i4>5</vt:i4>
      </vt:variant>
      <vt:variant>
        <vt:lpwstr>https://www.americorps.gov/sites/default/files/document/2026-01/2026-AmeriCorps-State-and-National-Application-Instructions.pdf</vt:lpwstr>
      </vt:variant>
      <vt:variant>
        <vt:lpwstr/>
      </vt:variant>
      <vt:variant>
        <vt:i4>5111880</vt:i4>
      </vt:variant>
      <vt:variant>
        <vt:i4>120</vt:i4>
      </vt:variant>
      <vt:variant>
        <vt:i4>0</vt:i4>
      </vt:variant>
      <vt:variant>
        <vt:i4>5</vt:i4>
      </vt:variant>
      <vt:variant>
        <vt:lpwstr>https://www.ecfr.gov/current/title-45/subtitle-B/chapter-XXV</vt:lpwstr>
      </vt:variant>
      <vt:variant>
        <vt:lpwstr/>
      </vt:variant>
      <vt:variant>
        <vt:i4>3670049</vt:i4>
      </vt:variant>
      <vt:variant>
        <vt:i4>117</vt:i4>
      </vt:variant>
      <vt:variant>
        <vt:i4>0</vt:i4>
      </vt:variant>
      <vt:variant>
        <vt:i4>5</vt:i4>
      </vt:variant>
      <vt:variant>
        <vt:lpwstr>https://www.ecfr.gov/current/title-45/subtitle-B/chapter-XXIII</vt:lpwstr>
      </vt:variant>
      <vt:variant>
        <vt:lpwstr/>
      </vt:variant>
      <vt:variant>
        <vt:i4>8323171</vt:i4>
      </vt:variant>
      <vt:variant>
        <vt:i4>114</vt:i4>
      </vt:variant>
      <vt:variant>
        <vt:i4>0</vt:i4>
      </vt:variant>
      <vt:variant>
        <vt:i4>5</vt:i4>
      </vt:variant>
      <vt:variant>
        <vt:lpwstr>https://uscode.house.gov/view.xhtml?req=(title:42%20section:12501%20edition:prelim)</vt:lpwstr>
      </vt:variant>
      <vt:variant>
        <vt:lpwstr/>
      </vt:variant>
      <vt:variant>
        <vt:i4>4587548</vt:i4>
      </vt:variant>
      <vt:variant>
        <vt:i4>111</vt:i4>
      </vt:variant>
      <vt:variant>
        <vt:i4>0</vt:i4>
      </vt:variant>
      <vt:variant>
        <vt:i4>5</vt:i4>
      </vt:variant>
      <vt:variant>
        <vt:lpwstr>https://www.govinfo.gov/content/pkg/COMPS-1628/pdf/COMPS-1628.pdf</vt:lpwstr>
      </vt:variant>
      <vt:variant>
        <vt:lpwstr/>
      </vt:variant>
      <vt:variant>
        <vt:i4>852042</vt:i4>
      </vt:variant>
      <vt:variant>
        <vt:i4>108</vt:i4>
      </vt:variant>
      <vt:variant>
        <vt:i4>0</vt:i4>
      </vt:variant>
      <vt:variant>
        <vt:i4>5</vt:i4>
      </vt:variant>
      <vt:variant>
        <vt:lpwstr>https://www.ecfr.gov/current/title-45/subtitle-B/chapter-XXV/part-2540/subpart-B/section-2540.202</vt:lpwstr>
      </vt:variant>
      <vt:variant>
        <vt:lpwstr/>
      </vt:variant>
      <vt:variant>
        <vt:i4>5832719</vt:i4>
      </vt:variant>
      <vt:variant>
        <vt:i4>105</vt:i4>
      </vt:variant>
      <vt:variant>
        <vt:i4>0</vt:i4>
      </vt:variant>
      <vt:variant>
        <vt:i4>5</vt:i4>
      </vt:variant>
      <vt:variant>
        <vt:lpwstr>https://uscode.house.gov/view.xhtml?req=granuleid:USC-2012-title20-section1091&amp;num=0&amp;edition=2012</vt:lpwstr>
      </vt:variant>
      <vt:variant>
        <vt:lpwstr/>
      </vt:variant>
      <vt:variant>
        <vt:i4>720973</vt:i4>
      </vt:variant>
      <vt:variant>
        <vt:i4>102</vt:i4>
      </vt:variant>
      <vt:variant>
        <vt:i4>0</vt:i4>
      </vt:variant>
      <vt:variant>
        <vt:i4>5</vt:i4>
      </vt:variant>
      <vt:variant>
        <vt:lpwstr>https://www.ecfr.gov/current/title-45/subtitle-B/chapter-XXV/part-2522/subpart-A/section-2522.110</vt:lpwstr>
      </vt:variant>
      <vt:variant>
        <vt:lpwstr/>
      </vt:variant>
      <vt:variant>
        <vt:i4>5570627</vt:i4>
      </vt:variant>
      <vt:variant>
        <vt:i4>99</vt:i4>
      </vt:variant>
      <vt:variant>
        <vt:i4>0</vt:i4>
      </vt:variant>
      <vt:variant>
        <vt:i4>5</vt:i4>
      </vt:variant>
      <vt:variant>
        <vt:lpwstr>https://www.opm.gov/policy-data-oversight/pay-leave/salaries-wages/salary-tables/pdf/2026/ES.pdf</vt:lpwstr>
      </vt:variant>
      <vt:variant>
        <vt:lpwstr/>
      </vt:variant>
      <vt:variant>
        <vt:i4>8060963</vt:i4>
      </vt:variant>
      <vt:variant>
        <vt:i4>96</vt:i4>
      </vt:variant>
      <vt:variant>
        <vt:i4>0</vt:i4>
      </vt:variant>
      <vt:variant>
        <vt:i4>5</vt:i4>
      </vt:variant>
      <vt:variant>
        <vt:lpwstr>https://www.ecfr.gov/current/title-2/subtitle-A/chapter-II/part-200/subpart-E/subject-group-ECFRed1f39f9b3d4e72/section-200.445</vt:lpwstr>
      </vt:variant>
      <vt:variant>
        <vt:lpwstr/>
      </vt:variant>
      <vt:variant>
        <vt:i4>8126499</vt:i4>
      </vt:variant>
      <vt:variant>
        <vt:i4>93</vt:i4>
      </vt:variant>
      <vt:variant>
        <vt:i4>0</vt:i4>
      </vt:variant>
      <vt:variant>
        <vt:i4>5</vt:i4>
      </vt:variant>
      <vt:variant>
        <vt:lpwstr>https://www.ecfr.gov/current/title-2/subtitle-A/chapter-II/part-200/subpart-E/subject-group-ECFRed1f39f9b3d4e72/section-200.439</vt:lpwstr>
      </vt:variant>
      <vt:variant>
        <vt:lpwstr/>
      </vt:variant>
      <vt:variant>
        <vt:i4>8126499</vt:i4>
      </vt:variant>
      <vt:variant>
        <vt:i4>90</vt:i4>
      </vt:variant>
      <vt:variant>
        <vt:i4>0</vt:i4>
      </vt:variant>
      <vt:variant>
        <vt:i4>5</vt:i4>
      </vt:variant>
      <vt:variant>
        <vt:lpwstr>https://www.ecfr.gov/current/title-2/subtitle-A/chapter-II/part-200/subpart-E/subject-group-ECFRed1f39f9b3d4e72/section-200.439</vt:lpwstr>
      </vt:variant>
      <vt:variant>
        <vt:lpwstr/>
      </vt:variant>
      <vt:variant>
        <vt:i4>8126499</vt:i4>
      </vt:variant>
      <vt:variant>
        <vt:i4>87</vt:i4>
      </vt:variant>
      <vt:variant>
        <vt:i4>0</vt:i4>
      </vt:variant>
      <vt:variant>
        <vt:i4>5</vt:i4>
      </vt:variant>
      <vt:variant>
        <vt:lpwstr>https://www.ecfr.gov/current/title-2/subtitle-A/chapter-II/part-200/subpart-E/subject-group-ECFRed1f39f9b3d4e72/section-200.438</vt:lpwstr>
      </vt:variant>
      <vt:variant>
        <vt:lpwstr/>
      </vt:variant>
      <vt:variant>
        <vt:i4>3080312</vt:i4>
      </vt:variant>
      <vt:variant>
        <vt:i4>84</vt:i4>
      </vt:variant>
      <vt:variant>
        <vt:i4>0</vt:i4>
      </vt:variant>
      <vt:variant>
        <vt:i4>5</vt:i4>
      </vt:variant>
      <vt:variant>
        <vt:lpwstr>https://www.ecfr.gov/current/title-2/subtitle-A/chapter-II/part-200</vt:lpwstr>
      </vt:variant>
      <vt:variant>
        <vt:lpwstr/>
      </vt:variant>
      <vt:variant>
        <vt:i4>7602181</vt:i4>
      </vt:variant>
      <vt:variant>
        <vt:i4>81</vt:i4>
      </vt:variant>
      <vt:variant>
        <vt:i4>0</vt:i4>
      </vt:variant>
      <vt:variant>
        <vt:i4>5</vt:i4>
      </vt:variant>
      <vt:variant>
        <vt:lpwstr>https://www.americorps.gov/sites/default/files/document/2026-01/2026-AmeriCorps-State-and-National-Performance_Measure-Instructions.pdf</vt:lpwstr>
      </vt:variant>
      <vt:variant>
        <vt:lpwstr/>
      </vt:variant>
      <vt:variant>
        <vt:i4>7602181</vt:i4>
      </vt:variant>
      <vt:variant>
        <vt:i4>78</vt:i4>
      </vt:variant>
      <vt:variant>
        <vt:i4>0</vt:i4>
      </vt:variant>
      <vt:variant>
        <vt:i4>5</vt:i4>
      </vt:variant>
      <vt:variant>
        <vt:lpwstr>https://www.americorps.gov/sites/default/files/document/2026-01/2026-AmeriCorps-State-and-National-Performance_Measure-Instructions.pdf</vt:lpwstr>
      </vt:variant>
      <vt:variant>
        <vt:lpwstr/>
      </vt:variant>
      <vt:variant>
        <vt:i4>131073</vt:i4>
      </vt:variant>
      <vt:variant>
        <vt:i4>75</vt:i4>
      </vt:variant>
      <vt:variant>
        <vt:i4>0</vt:i4>
      </vt:variant>
      <vt:variant>
        <vt:i4>5</vt:i4>
      </vt:variant>
      <vt:variant>
        <vt:lpwstr>https://www.ecfr.gov/current/title-45/subtitle-B/chapter-XXV/part-2540/subpart-B</vt:lpwstr>
      </vt:variant>
      <vt:variant>
        <vt:lpwstr/>
      </vt:variant>
      <vt:variant>
        <vt:i4>6946910</vt:i4>
      </vt:variant>
      <vt:variant>
        <vt:i4>72</vt:i4>
      </vt:variant>
      <vt:variant>
        <vt:i4>0</vt:i4>
      </vt:variant>
      <vt:variant>
        <vt:i4>5</vt:i4>
      </vt:variant>
      <vt:variant>
        <vt:lpwstr>https://www.americorps.gov/sites/default/files/document/NSCHC-Manual_OM.pdf</vt:lpwstr>
      </vt:variant>
      <vt:variant>
        <vt:lpwstr/>
      </vt:variant>
      <vt:variant>
        <vt:i4>6553716</vt:i4>
      </vt:variant>
      <vt:variant>
        <vt:i4>69</vt:i4>
      </vt:variant>
      <vt:variant>
        <vt:i4>0</vt:i4>
      </vt:variant>
      <vt:variant>
        <vt:i4>5</vt:i4>
      </vt:variant>
      <vt:variant>
        <vt:lpwstr>https://www.ecfr.gov/current/title-45/subtitle-B/chapter-XXV/part-2540</vt:lpwstr>
      </vt:variant>
      <vt:variant>
        <vt:lpwstr/>
      </vt:variant>
      <vt:variant>
        <vt:i4>524366</vt:i4>
      </vt:variant>
      <vt:variant>
        <vt:i4>66</vt:i4>
      </vt:variant>
      <vt:variant>
        <vt:i4>0</vt:i4>
      </vt:variant>
      <vt:variant>
        <vt:i4>5</vt:i4>
      </vt:variant>
      <vt:variant>
        <vt:lpwstr>https://www.ecfr.gov/current/title-45/subtitle-B/chapter-XXV/part-2522/subpart-B/section-2522.210</vt:lpwstr>
      </vt:variant>
      <vt:variant>
        <vt:lpwstr/>
      </vt:variant>
      <vt:variant>
        <vt:i4>2031725</vt:i4>
      </vt:variant>
      <vt:variant>
        <vt:i4>63</vt:i4>
      </vt:variant>
      <vt:variant>
        <vt:i4>0</vt:i4>
      </vt:variant>
      <vt:variant>
        <vt:i4>5</vt:i4>
      </vt:variant>
      <vt:variant>
        <vt:lpwstr>https://www.americorps.gov/sites/default/files/document/2026-01/Revised_FY2026_General_Terms_and_Conditions.pdf</vt:lpwstr>
      </vt:variant>
      <vt:variant>
        <vt:lpwstr/>
      </vt:variant>
      <vt:variant>
        <vt:i4>3801148</vt:i4>
      </vt:variant>
      <vt:variant>
        <vt:i4>60</vt:i4>
      </vt:variant>
      <vt:variant>
        <vt:i4>0</vt:i4>
      </vt:variant>
      <vt:variant>
        <vt:i4>5</vt:i4>
      </vt:variant>
      <vt:variant>
        <vt:lpwstr>https://www.americorps.gov/grantees-sponsors/manage-your-grant</vt:lpwstr>
      </vt:variant>
      <vt:variant>
        <vt:lpwstr/>
      </vt:variant>
      <vt:variant>
        <vt:i4>2949237</vt:i4>
      </vt:variant>
      <vt:variant>
        <vt:i4>57</vt:i4>
      </vt:variant>
      <vt:variant>
        <vt:i4>0</vt:i4>
      </vt:variant>
      <vt:variant>
        <vt:i4>5</vt:i4>
      </vt:variant>
      <vt:variant>
        <vt:lpwstr>https://intranet.dhs.illinois.gov/oneweb/page.aspx?item=149875</vt:lpwstr>
      </vt:variant>
      <vt:variant>
        <vt:lpwstr/>
      </vt:variant>
      <vt:variant>
        <vt:i4>5701657</vt:i4>
      </vt:variant>
      <vt:variant>
        <vt:i4>54</vt:i4>
      </vt:variant>
      <vt:variant>
        <vt:i4>0</vt:i4>
      </vt:variant>
      <vt:variant>
        <vt:i4>5</vt:i4>
      </vt:variant>
      <vt:variant>
        <vt:lpwstr>https://www.congress.gov/bill/104th-congress/senate-bill/1060</vt:lpwstr>
      </vt:variant>
      <vt:variant>
        <vt:lpwstr/>
      </vt:variant>
      <vt:variant>
        <vt:i4>3473445</vt:i4>
      </vt:variant>
      <vt:variant>
        <vt:i4>51</vt:i4>
      </vt:variant>
      <vt:variant>
        <vt:i4>0</vt:i4>
      </vt:variant>
      <vt:variant>
        <vt:i4>5</vt:i4>
      </vt:variant>
      <vt:variant>
        <vt:lpwstr>https://uscode.house.gov/view.xhtml?req=%28%22cross+reference%22%29+AND+%28%28title%3A%2826%29%29%29+AND+body%3A%28</vt:lpwstr>
      </vt:variant>
      <vt:variant>
        <vt:lpwstr/>
      </vt:variant>
      <vt:variant>
        <vt:i4>8323116</vt:i4>
      </vt:variant>
      <vt:variant>
        <vt:i4>48</vt:i4>
      </vt:variant>
      <vt:variant>
        <vt:i4>0</vt:i4>
      </vt:variant>
      <vt:variant>
        <vt:i4>5</vt:i4>
      </vt:variant>
      <vt:variant>
        <vt:lpwstr>https://ilhfspartner3.dynamics365portals.us/sanctions/</vt:lpwstr>
      </vt:variant>
      <vt:variant>
        <vt:lpwstr/>
      </vt:variant>
      <vt:variant>
        <vt:i4>1966159</vt:i4>
      </vt:variant>
      <vt:variant>
        <vt:i4>45</vt:i4>
      </vt:variant>
      <vt:variant>
        <vt:i4>0</vt:i4>
      </vt:variant>
      <vt:variant>
        <vt:i4>5</vt:i4>
      </vt:variant>
      <vt:variant>
        <vt:lpwstr>https://sam.gov/</vt:lpwstr>
      </vt:variant>
      <vt:variant>
        <vt:lpwstr/>
      </vt:variant>
      <vt:variant>
        <vt:i4>7798821</vt:i4>
      </vt:variant>
      <vt:variant>
        <vt:i4>42</vt:i4>
      </vt:variant>
      <vt:variant>
        <vt:i4>0</vt:i4>
      </vt:variant>
      <vt:variant>
        <vt:i4>5</vt:i4>
      </vt:variant>
      <vt:variant>
        <vt:lpwstr>https://www.fsd.gov/gsafsd_sp?id=kb_article_view&amp;sysparm_article=KB0029897</vt:lpwstr>
      </vt:variant>
      <vt:variant>
        <vt:lpwstr/>
      </vt:variant>
      <vt:variant>
        <vt:i4>1966159</vt:i4>
      </vt:variant>
      <vt:variant>
        <vt:i4>39</vt:i4>
      </vt:variant>
      <vt:variant>
        <vt:i4>0</vt:i4>
      </vt:variant>
      <vt:variant>
        <vt:i4>5</vt:i4>
      </vt:variant>
      <vt:variant>
        <vt:lpwstr>https://sam.gov/</vt:lpwstr>
      </vt:variant>
      <vt:variant>
        <vt:lpwstr/>
      </vt:variant>
      <vt:variant>
        <vt:i4>7077941</vt:i4>
      </vt:variant>
      <vt:variant>
        <vt:i4>36</vt:i4>
      </vt:variant>
      <vt:variant>
        <vt:i4>0</vt:i4>
      </vt:variant>
      <vt:variant>
        <vt:i4>5</vt:i4>
      </vt:variant>
      <vt:variant>
        <vt:lpwstr>https://www.ecfr.gov/current/title-2/subtitle-A/chapter-I/part-25/subpart-A/section-25.110</vt:lpwstr>
      </vt:variant>
      <vt:variant>
        <vt:lpwstr/>
      </vt:variant>
      <vt:variant>
        <vt:i4>7077941</vt:i4>
      </vt:variant>
      <vt:variant>
        <vt:i4>33</vt:i4>
      </vt:variant>
      <vt:variant>
        <vt:i4>0</vt:i4>
      </vt:variant>
      <vt:variant>
        <vt:i4>5</vt:i4>
      </vt:variant>
      <vt:variant>
        <vt:lpwstr>https://www.ecfr.gov/current/title-2/subtitle-A/chapter-I/part-25/subpart-A/section-25.110</vt:lpwstr>
      </vt:variant>
      <vt:variant>
        <vt:lpwstr/>
      </vt:variant>
      <vt:variant>
        <vt:i4>1966096</vt:i4>
      </vt:variant>
      <vt:variant>
        <vt:i4>30</vt:i4>
      </vt:variant>
      <vt:variant>
        <vt:i4>0</vt:i4>
      </vt:variant>
      <vt:variant>
        <vt:i4>5</vt:i4>
      </vt:variant>
      <vt:variant>
        <vt:lpwstr>https://www.dhs.state.il.us/page.aspx?item=85526</vt:lpwstr>
      </vt:variant>
      <vt:variant>
        <vt:lpwstr/>
      </vt:variant>
      <vt:variant>
        <vt:i4>1572930</vt:i4>
      </vt:variant>
      <vt:variant>
        <vt:i4>27</vt:i4>
      </vt:variant>
      <vt:variant>
        <vt:i4>0</vt:i4>
      </vt:variant>
      <vt:variant>
        <vt:i4>5</vt:i4>
      </vt:variant>
      <vt:variant>
        <vt:lpwstr>https://www.ecfr.gov/current/title-2/subtitle-A/chapter-II/part-200/subpart-A/subject-group-ECFR2a6a0087862fd2c/section-200.1</vt:lpwstr>
      </vt:variant>
      <vt:variant>
        <vt:lpwstr/>
      </vt:variant>
      <vt:variant>
        <vt:i4>4915271</vt:i4>
      </vt:variant>
      <vt:variant>
        <vt:i4>24</vt:i4>
      </vt:variant>
      <vt:variant>
        <vt:i4>0</vt:i4>
      </vt:variant>
      <vt:variant>
        <vt:i4>5</vt:i4>
      </vt:variant>
      <vt:variant>
        <vt:lpwstr>https://gata.illinois.gov/indirect-cost/centralized-indirect-cost-system.html</vt:lpwstr>
      </vt:variant>
      <vt:variant>
        <vt:lpwstr/>
      </vt:variant>
      <vt:variant>
        <vt:i4>3014777</vt:i4>
      </vt:variant>
      <vt:variant>
        <vt:i4>21</vt:i4>
      </vt:variant>
      <vt:variant>
        <vt:i4>0</vt:i4>
      </vt:variant>
      <vt:variant>
        <vt:i4>5</vt:i4>
      </vt:variant>
      <vt:variant>
        <vt:lpwstr>https://intranet.dhs.illinois.gov/oneweb/page.aspx?item=151738</vt:lpwstr>
      </vt:variant>
      <vt:variant>
        <vt:lpwstr/>
      </vt:variant>
      <vt:variant>
        <vt:i4>4194308</vt:i4>
      </vt:variant>
      <vt:variant>
        <vt:i4>18</vt:i4>
      </vt:variant>
      <vt:variant>
        <vt:i4>0</vt:i4>
      </vt:variant>
      <vt:variant>
        <vt:i4>5</vt:i4>
      </vt:variant>
      <vt:variant>
        <vt:lpwstr>http://www.dhs.state.il.us/page.aspx?item=178902</vt:lpwstr>
      </vt:variant>
      <vt:variant>
        <vt:lpwstr/>
      </vt:variant>
      <vt:variant>
        <vt:i4>4718704</vt:i4>
      </vt:variant>
      <vt:variant>
        <vt:i4>15</vt:i4>
      </vt:variant>
      <vt:variant>
        <vt:i4>0</vt:i4>
      </vt:variant>
      <vt:variant>
        <vt:i4>5</vt:i4>
      </vt:variant>
      <vt:variant>
        <vt:lpwstr>mailto:DHS.ServeIllinois.NOFO@illinois.gov</vt:lpwstr>
      </vt:variant>
      <vt:variant>
        <vt:lpwstr/>
      </vt:variant>
      <vt:variant>
        <vt:i4>3014777</vt:i4>
      </vt:variant>
      <vt:variant>
        <vt:i4>12</vt:i4>
      </vt:variant>
      <vt:variant>
        <vt:i4>0</vt:i4>
      </vt:variant>
      <vt:variant>
        <vt:i4>5</vt:i4>
      </vt:variant>
      <vt:variant>
        <vt:lpwstr>https://intranet.dhs.illinois.gov/oneweb/page.aspx?item=151738</vt:lpwstr>
      </vt:variant>
      <vt:variant>
        <vt:lpwstr/>
      </vt:variant>
      <vt:variant>
        <vt:i4>1245212</vt:i4>
      </vt:variant>
      <vt:variant>
        <vt:i4>9</vt:i4>
      </vt:variant>
      <vt:variant>
        <vt:i4>0</vt:i4>
      </vt:variant>
      <vt:variant>
        <vt:i4>5</vt:i4>
      </vt:variant>
      <vt:variant>
        <vt:lpwstr>https://www.ilga.gov/Legislation/ILCS/Articles?ActID=3559&amp;ChapterID=7</vt:lpwstr>
      </vt:variant>
      <vt:variant>
        <vt:lpwstr/>
      </vt:variant>
      <vt:variant>
        <vt:i4>5898316</vt:i4>
      </vt:variant>
      <vt:variant>
        <vt:i4>6</vt:i4>
      </vt:variant>
      <vt:variant>
        <vt:i4>0</vt:i4>
      </vt:variant>
      <vt:variant>
        <vt:i4>5</vt:i4>
      </vt:variant>
      <vt:variant>
        <vt:lpwstr>https://www.ecfr.gov/current/title-2/subtitle-A/chapter-II/part-200/subpart-E</vt:lpwstr>
      </vt:variant>
      <vt:variant>
        <vt:lpwstr/>
      </vt:variant>
      <vt:variant>
        <vt:i4>5046359</vt:i4>
      </vt:variant>
      <vt:variant>
        <vt:i4>3</vt:i4>
      </vt:variant>
      <vt:variant>
        <vt:i4>0</vt:i4>
      </vt:variant>
      <vt:variant>
        <vt:i4>5</vt:i4>
      </vt:variant>
      <vt:variant>
        <vt:lpwstr>https://actnowillinois-org.zoom.us/webinar/register/WN_ODvxoJeEQc68uvP7Q_zPnA</vt:lpwstr>
      </vt:variant>
      <vt:variant>
        <vt:lpwstr/>
      </vt:variant>
      <vt:variant>
        <vt:i4>4718704</vt:i4>
      </vt:variant>
      <vt:variant>
        <vt:i4>0</vt:i4>
      </vt:variant>
      <vt:variant>
        <vt:i4>0</vt:i4>
      </vt:variant>
      <vt:variant>
        <vt:i4>5</vt:i4>
      </vt:variant>
      <vt:variant>
        <vt:lpwstr>mailto:DHS.ServeIllinois.NOFO@illinois.gov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Instructions AmeriCorps</dc:title>
  <dc:subject/>
  <dc:creator>Nussbaum, Wendy</dc:creator>
  <cp:keywords/>
  <dc:description/>
  <cp:lastModifiedBy>Tuxhorn, Rachael</cp:lastModifiedBy>
  <cp:revision>2</cp:revision>
  <dcterms:created xsi:type="dcterms:W3CDTF">2026-07-28T19:44:00Z</dcterms:created>
  <dcterms:modified xsi:type="dcterms:W3CDTF">2026-07-28T19:44:00Z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5b0e16a5-ca36-4185-ad08-7773367abb0d</vt:lpwstr>
  </property>
  <property fmtid="{D5CDD505-2E9C-101B-9397-08002B2CF9AE}" pid="3" name="ContentTypeId">
    <vt:lpwstr>0x01010024A415AFC7D1D14DA640DD75805C75D9</vt:lpwstr>
  </property>
</Properties>
</file>